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center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32"/>
        </w:rPr>
        <w:t>５号認定売上高計算表（ロー①）</w:t>
      </w:r>
    </w:p>
    <w:p>
      <w:pPr>
        <w:pStyle w:val="0"/>
        <w:widowControl w:val="1"/>
        <w:ind w:left="-415" w:leftChars="-173" w:firstLine="415" w:firstLineChars="173"/>
        <w:jc w:val="left"/>
        <w:rPr>
          <w:rFonts w:hint="eastAsia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１　事業が属する業種毎の最近１年間の売上高</w:t>
      </w:r>
    </w:p>
    <w:p>
      <w:pPr>
        <w:pStyle w:val="0"/>
        <w:ind w:left="0" w:leftChars="0" w:right="0" w:rightChars="0" w:firstLine="160" w:firstLineChars="100"/>
        <w:rPr>
          <w:rFonts w:hint="eastAsia" w:ascii="ＭＳ ゴシック" w:hAnsi="ＭＳ ゴシック" w:eastAsia="ＭＳ ゴシック"/>
          <w:b w:val="1"/>
          <w:sz w:val="16"/>
        </w:rPr>
      </w:pPr>
      <w:r>
        <w:rPr>
          <w:rFonts w:hint="eastAsia" w:ascii="ＭＳ ゴシック" w:hAnsi="ＭＳ ゴシック" w:eastAsia="ＭＳ ゴシック"/>
          <w:b w:val="1"/>
          <w:sz w:val="16"/>
        </w:rPr>
        <w:t>※指定業種における産業分類番号は、日本標準産業分類（平成１９年１１月改定）の細分類にて判断すること</w:t>
      </w:r>
    </w:p>
    <w:p>
      <w:pPr>
        <w:pStyle w:val="0"/>
        <w:widowControl w:val="1"/>
        <w:ind w:firstLine="160" w:firstLineChars="100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b w:val="1"/>
          <w:sz w:val="16"/>
        </w:rPr>
        <w:t>※本様式は，指定業種のみを営んでいる、又は営んでいる複数の事業が全て指定業種に属する場合</w:t>
      </w:r>
    </w:p>
    <w:tbl>
      <w:tblPr>
        <w:tblStyle w:val="11"/>
        <w:tblW w:w="8384" w:type="dxa"/>
        <w:jc w:val="center"/>
        <w:tblInd w:w="0" w:type="dxa"/>
        <w:tblBorders>
          <w:top w:val="single" w:color="00000A" w:sz="8" w:space="0"/>
          <w:left w:val="single" w:color="00000A" w:sz="8" w:space="0"/>
          <w:bottom w:val="double" w:color="000001" w:sz="6" w:space="0"/>
          <w:insideH w:val="double" w:color="000001" w:sz="6" w:space="0"/>
        </w:tblBorders>
        <w:tblLayout w:type="fixed"/>
        <w:tblCellMar>
          <w:top w:w="0" w:type="dxa"/>
          <w:left w:w="89" w:type="dxa"/>
          <w:bottom w:w="0" w:type="dxa"/>
          <w:right w:w="99" w:type="dxa"/>
        </w:tblCellMar>
        <w:tblLook w:firstRow="1" w:lastRow="1" w:firstColumn="1" w:lastColumn="1" w:noHBand="0" w:noVBand="0" w:val="01E0"/>
      </w:tblPr>
      <w:tblGrid>
        <w:gridCol w:w="362"/>
        <w:gridCol w:w="1884"/>
        <w:gridCol w:w="1879"/>
        <w:gridCol w:w="2880"/>
        <w:gridCol w:w="1379"/>
      </w:tblGrid>
      <w:tr>
        <w:trPr>
          <w:trHeight w:val="315" w:hRule="atLeast"/>
        </w:trPr>
        <w:tc>
          <w:tcPr>
            <w:tcW w:w="362" w:type="dxa"/>
            <w:vMerge w:val="restart"/>
            <w:tcBorders>
              <w:top w:val="single" w:color="00000A" w:sz="8" w:space="0"/>
              <w:left w:val="single" w:color="00000A" w:sz="8" w:space="0"/>
              <w:bottom w:val="double" w:color="000001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textDirection w:val="tbRlV"/>
            <w:vAlign w:val="center"/>
          </w:tcPr>
          <w:p>
            <w:pPr>
              <w:pStyle w:val="0"/>
              <w:widowControl w:val="1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業　　　種　　　別</w:t>
            </w:r>
          </w:p>
        </w:tc>
        <w:tc>
          <w:tcPr>
            <w:tcW w:w="3763" w:type="dxa"/>
            <w:gridSpan w:val="2"/>
            <w:tcBorders>
              <w:top w:val="single" w:color="00000A" w:sz="8" w:space="0"/>
              <w:left w:val="single" w:color="00000A" w:sz="8" w:space="0"/>
              <w:bottom w:val="single" w:color="00000A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業種名（日本標準産業分類から）</w:t>
            </w:r>
          </w:p>
        </w:tc>
        <w:tc>
          <w:tcPr>
            <w:tcW w:w="2880" w:type="dxa"/>
            <w:vMerge w:val="restart"/>
            <w:tcBorders>
              <w:top w:val="single" w:color="00000A" w:sz="8" w:space="0"/>
              <w:left w:val="single" w:color="00000A" w:sz="4" w:space="0"/>
              <w:bottom w:val="single" w:color="000001" w:sz="8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94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br w:type="textWrapping" w:clear="none"/>
            </w:r>
            <w:r>
              <w:rPr>
                <w:rFonts w:hint="eastAsia" w:ascii="ＭＳ ゴシック" w:hAnsi="ＭＳ ゴシック" w:eastAsia="ＭＳ ゴシック"/>
                <w:sz w:val="22"/>
              </w:rPr>
              <w:t>最近１年間の売上高等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br w:type="textWrapping" w:clear="none"/>
            </w:r>
            <w:r>
              <w:rPr>
                <w:rFonts w:hint="eastAsia" w:ascii="ＭＳ ゴシック" w:hAnsi="ＭＳ ゴシック" w:eastAsia="ＭＳ ゴシック"/>
                <w:sz w:val="20"/>
              </w:rPr>
              <w:t>　　　　　　　　　　　　　　円</w:t>
            </w:r>
          </w:p>
        </w:tc>
        <w:tc>
          <w:tcPr>
            <w:tcW w:w="1379" w:type="dxa"/>
            <w:vMerge w:val="restart"/>
            <w:tcBorders>
              <w:top w:val="single" w:color="00000A" w:sz="8" w:space="0"/>
              <w:left w:val="single" w:color="00000A" w:sz="4" w:space="0"/>
              <w:bottom w:val="single" w:color="000001" w:sz="8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94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br w:type="textWrapping" w:clear="none"/>
            </w:r>
            <w:r>
              <w:rPr>
                <w:rFonts w:hint="eastAsia" w:ascii="ＭＳ ゴシック" w:hAnsi="ＭＳ ゴシック" w:eastAsia="ＭＳ ゴシック"/>
                <w:sz w:val="22"/>
              </w:rPr>
              <w:t>構成比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br w:type="textWrapping" w:clear="none"/>
            </w:r>
            <w:r>
              <w:rPr>
                <w:rFonts w:hint="eastAsia" w:ascii="ＭＳ ゴシック" w:hAnsi="ＭＳ ゴシック" w:eastAsia="ＭＳ ゴシック"/>
                <w:sz w:val="20"/>
              </w:rPr>
              <w:t>　　　（％）</w:t>
            </w:r>
          </w:p>
        </w:tc>
      </w:tr>
      <w:tr>
        <w:trPr>
          <w:trHeight w:val="812" w:hRule="atLeast"/>
        </w:trPr>
        <w:tc>
          <w:tcPr>
            <w:tcW w:w="362" w:type="dxa"/>
            <w:vMerge w:val="continue"/>
            <w:tcBorders>
              <w:top w:val="single" w:color="00000A" w:sz="8" w:space="0"/>
              <w:left w:val="single" w:color="00000A" w:sz="8" w:space="0"/>
              <w:bottom w:val="double" w:color="000001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textDirection w:val="tbRl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84" w:type="dxa"/>
            <w:tcBorders>
              <w:top w:val="none" w:color="auto" w:sz="0" w:space="0"/>
              <w:left w:val="single" w:color="00000A" w:sz="8" w:space="0"/>
              <w:bottom w:val="single" w:color="00000A" w:sz="8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細分類番号</w:t>
            </w:r>
          </w:p>
        </w:tc>
        <w:tc>
          <w:tcPr>
            <w:tcW w:w="1879" w:type="dxa"/>
            <w:tcBorders>
              <w:top w:val="none" w:color="auto" w:sz="0" w:space="0"/>
              <w:left w:val="none" w:color="auto" w:sz="0" w:space="0"/>
              <w:bottom w:val="single" w:color="00000A" w:sz="8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細分類業種名</w:t>
            </w:r>
          </w:p>
        </w:tc>
        <w:tc>
          <w:tcPr>
            <w:tcW w:w="2880" w:type="dxa"/>
            <w:vMerge w:val="continue"/>
            <w:tcBorders>
              <w:top w:val="single" w:color="00000A" w:sz="8" w:space="0"/>
              <w:left w:val="single" w:color="00000A" w:sz="4" w:space="0"/>
              <w:bottom w:val="single" w:color="000001" w:sz="8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94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79" w:type="dxa"/>
            <w:vMerge w:val="continue"/>
            <w:tcBorders>
              <w:top w:val="single" w:color="00000A" w:sz="8" w:space="0"/>
              <w:left w:val="single" w:color="00000A" w:sz="4" w:space="0"/>
              <w:bottom w:val="single" w:color="000001" w:sz="8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94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84" w:hRule="atLeast"/>
        </w:trPr>
        <w:tc>
          <w:tcPr>
            <w:tcW w:w="362" w:type="dxa"/>
            <w:vMerge w:val="continue"/>
            <w:tcBorders>
              <w:top w:val="single" w:color="00000A" w:sz="8" w:space="0"/>
              <w:left w:val="single" w:color="00000A" w:sz="8" w:space="0"/>
              <w:bottom w:val="double" w:color="000001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textDirection w:val="tbRl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84" w:type="dxa"/>
            <w:tcBorders>
              <w:top w:val="none" w:color="auto" w:sz="0" w:space="0"/>
              <w:left w:val="single" w:color="00000A" w:sz="8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</w:t>
            </w:r>
          </w:p>
        </w:tc>
        <w:tc>
          <w:tcPr>
            <w:tcW w:w="1879" w:type="dxa"/>
            <w:tcBorders>
              <w:top w:val="none" w:color="auto" w:sz="0" w:space="0"/>
              <w:left w:val="none" w:color="auto" w:sz="0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</w:t>
            </w:r>
          </w:p>
        </w:tc>
        <w:tc>
          <w:tcPr>
            <w:tcW w:w="2880" w:type="dxa"/>
            <w:tcBorders>
              <w:top w:val="none" w:color="auto" w:sz="0" w:space="0"/>
              <w:left w:val="none" w:color="auto" w:sz="0" w:space="0"/>
              <w:bottom w:val="dotted" w:color="00000A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</w:t>
            </w:r>
          </w:p>
        </w:tc>
        <w:tc>
          <w:tcPr>
            <w:tcW w:w="1379" w:type="dxa"/>
            <w:tcBorders>
              <w:top w:val="none" w:color="auto" w:sz="0" w:space="0"/>
              <w:left w:val="none" w:color="auto" w:sz="0" w:space="0"/>
              <w:bottom w:val="dotted" w:color="00000A" w:sz="4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</w:t>
            </w:r>
          </w:p>
        </w:tc>
      </w:tr>
      <w:tr>
        <w:trPr>
          <w:trHeight w:val="283" w:hRule="atLeast"/>
        </w:trPr>
        <w:tc>
          <w:tcPr>
            <w:tcW w:w="362" w:type="dxa"/>
            <w:vMerge w:val="continue"/>
            <w:tcBorders>
              <w:top w:val="single" w:color="00000A" w:sz="8" w:space="0"/>
              <w:left w:val="single" w:color="00000A" w:sz="8" w:space="0"/>
              <w:bottom w:val="double" w:color="000001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textDirection w:val="tbRl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84" w:type="dxa"/>
            <w:tcBorders>
              <w:top w:val="none" w:color="auto" w:sz="0" w:space="0"/>
              <w:left w:val="single" w:color="00000A" w:sz="8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</w:t>
            </w:r>
          </w:p>
        </w:tc>
        <w:tc>
          <w:tcPr>
            <w:tcW w:w="1879" w:type="dxa"/>
            <w:tcBorders>
              <w:top w:val="none" w:color="auto" w:sz="0" w:space="0"/>
              <w:left w:val="none" w:color="auto" w:sz="0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</w:t>
            </w:r>
          </w:p>
        </w:tc>
        <w:tc>
          <w:tcPr>
            <w:tcW w:w="2880" w:type="dxa"/>
            <w:tcBorders>
              <w:top w:val="dotted" w:color="00000A" w:sz="4" w:space="0"/>
              <w:left w:val="none" w:color="auto" w:sz="0" w:space="0"/>
              <w:bottom w:val="dotted" w:color="00000A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</w:t>
            </w:r>
          </w:p>
        </w:tc>
        <w:tc>
          <w:tcPr>
            <w:tcW w:w="1379" w:type="dxa"/>
            <w:tcBorders>
              <w:top w:val="none" w:color="auto" w:sz="0" w:space="0"/>
              <w:left w:val="none" w:color="auto" w:sz="0" w:space="0"/>
              <w:bottom w:val="dotted" w:color="00000A" w:sz="4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</w:t>
            </w:r>
          </w:p>
        </w:tc>
      </w:tr>
      <w:tr>
        <w:trPr>
          <w:trHeight w:val="283" w:hRule="atLeast"/>
        </w:trPr>
        <w:tc>
          <w:tcPr>
            <w:tcW w:w="362" w:type="dxa"/>
            <w:vMerge w:val="continue"/>
            <w:tcBorders>
              <w:top w:val="single" w:color="00000A" w:sz="8" w:space="0"/>
              <w:left w:val="single" w:color="00000A" w:sz="8" w:space="0"/>
              <w:bottom w:val="double" w:color="000001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textDirection w:val="tbRl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84" w:type="dxa"/>
            <w:tcBorders>
              <w:top w:val="none" w:color="auto" w:sz="0" w:space="0"/>
              <w:left w:val="single" w:color="00000A" w:sz="8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</w:t>
            </w:r>
          </w:p>
        </w:tc>
        <w:tc>
          <w:tcPr>
            <w:tcW w:w="1879" w:type="dxa"/>
            <w:tcBorders>
              <w:top w:val="none" w:color="auto" w:sz="0" w:space="0"/>
              <w:left w:val="none" w:color="auto" w:sz="0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</w:t>
            </w:r>
          </w:p>
        </w:tc>
        <w:tc>
          <w:tcPr>
            <w:tcW w:w="2880" w:type="dxa"/>
            <w:tcBorders>
              <w:top w:val="dotted" w:color="00000A" w:sz="4" w:space="0"/>
              <w:left w:val="none" w:color="auto" w:sz="0" w:space="0"/>
              <w:bottom w:val="dotted" w:color="00000A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</w:t>
            </w:r>
          </w:p>
        </w:tc>
        <w:tc>
          <w:tcPr>
            <w:tcW w:w="1379" w:type="dxa"/>
            <w:tcBorders>
              <w:top w:val="none" w:color="auto" w:sz="0" w:space="0"/>
              <w:left w:val="none" w:color="auto" w:sz="0" w:space="0"/>
              <w:bottom w:val="dotted" w:color="00000A" w:sz="4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</w:t>
            </w:r>
          </w:p>
        </w:tc>
      </w:tr>
      <w:tr>
        <w:trPr>
          <w:trHeight w:val="283" w:hRule="atLeast"/>
        </w:trPr>
        <w:tc>
          <w:tcPr>
            <w:tcW w:w="362" w:type="dxa"/>
            <w:vMerge w:val="continue"/>
            <w:tcBorders>
              <w:top w:val="single" w:color="00000A" w:sz="8" w:space="0"/>
              <w:left w:val="single" w:color="00000A" w:sz="8" w:space="0"/>
              <w:bottom w:val="double" w:color="000001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textDirection w:val="tbRl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84" w:type="dxa"/>
            <w:tcBorders>
              <w:top w:val="none" w:color="auto" w:sz="0" w:space="0"/>
              <w:left w:val="single" w:color="00000A" w:sz="8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</w:t>
            </w:r>
          </w:p>
        </w:tc>
        <w:tc>
          <w:tcPr>
            <w:tcW w:w="1879" w:type="dxa"/>
            <w:tcBorders>
              <w:top w:val="none" w:color="auto" w:sz="0" w:space="0"/>
              <w:left w:val="none" w:color="auto" w:sz="0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</w:t>
            </w:r>
          </w:p>
        </w:tc>
        <w:tc>
          <w:tcPr>
            <w:tcW w:w="2880" w:type="dxa"/>
            <w:tcBorders>
              <w:top w:val="dotted" w:color="00000A" w:sz="4" w:space="0"/>
              <w:left w:val="none" w:color="auto" w:sz="0" w:space="0"/>
              <w:bottom w:val="dotted" w:color="00000A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</w:t>
            </w:r>
          </w:p>
        </w:tc>
        <w:tc>
          <w:tcPr>
            <w:tcW w:w="1379" w:type="dxa"/>
            <w:tcBorders>
              <w:top w:val="none" w:color="auto" w:sz="0" w:space="0"/>
              <w:left w:val="none" w:color="auto" w:sz="0" w:space="0"/>
              <w:bottom w:val="dotted" w:color="00000A" w:sz="4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</w:t>
            </w:r>
          </w:p>
        </w:tc>
      </w:tr>
      <w:tr>
        <w:trPr>
          <w:trHeight w:val="284" w:hRule="atLeast"/>
        </w:trPr>
        <w:tc>
          <w:tcPr>
            <w:tcW w:w="362" w:type="dxa"/>
            <w:vMerge w:val="continue"/>
            <w:tcBorders>
              <w:top w:val="single" w:color="00000A" w:sz="8" w:space="0"/>
              <w:left w:val="single" w:color="00000A" w:sz="8" w:space="0"/>
              <w:bottom w:val="double" w:color="000001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textDirection w:val="tbRl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84" w:type="dxa"/>
            <w:tcBorders>
              <w:top w:val="none" w:color="auto" w:sz="0" w:space="0"/>
              <w:left w:val="single" w:color="00000A" w:sz="8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</w:t>
            </w:r>
          </w:p>
        </w:tc>
        <w:tc>
          <w:tcPr>
            <w:tcW w:w="1879" w:type="dxa"/>
            <w:tcBorders>
              <w:top w:val="none" w:color="auto" w:sz="0" w:space="0"/>
              <w:left w:val="none" w:color="auto" w:sz="0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</w:t>
            </w:r>
          </w:p>
        </w:tc>
        <w:tc>
          <w:tcPr>
            <w:tcW w:w="2880" w:type="dxa"/>
            <w:tcBorders>
              <w:top w:val="dotted" w:color="00000A" w:sz="4" w:space="0"/>
              <w:left w:val="none" w:color="auto" w:sz="0" w:space="0"/>
              <w:bottom w:val="dotted" w:color="00000A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</w:t>
            </w:r>
          </w:p>
        </w:tc>
        <w:tc>
          <w:tcPr>
            <w:tcW w:w="1379" w:type="dxa"/>
            <w:tcBorders>
              <w:top w:val="none" w:color="auto" w:sz="0" w:space="0"/>
              <w:left w:val="none" w:color="auto" w:sz="0" w:space="0"/>
              <w:bottom w:val="dotted" w:color="00000A" w:sz="4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</w:t>
            </w:r>
          </w:p>
        </w:tc>
      </w:tr>
      <w:tr>
        <w:trPr>
          <w:trHeight w:val="283" w:hRule="atLeast"/>
        </w:trPr>
        <w:tc>
          <w:tcPr>
            <w:tcW w:w="362" w:type="dxa"/>
            <w:vMerge w:val="continue"/>
            <w:tcBorders>
              <w:top w:val="single" w:color="00000A" w:sz="8" w:space="0"/>
              <w:left w:val="single" w:color="00000A" w:sz="8" w:space="0"/>
              <w:bottom w:val="double" w:color="000001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textDirection w:val="tbRl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84" w:type="dxa"/>
            <w:tcBorders>
              <w:top w:val="none" w:color="auto" w:sz="0" w:space="0"/>
              <w:left w:val="single" w:color="00000A" w:sz="8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</w:t>
            </w:r>
          </w:p>
        </w:tc>
        <w:tc>
          <w:tcPr>
            <w:tcW w:w="1879" w:type="dxa"/>
            <w:tcBorders>
              <w:top w:val="none" w:color="auto" w:sz="0" w:space="0"/>
              <w:left w:val="none" w:color="auto" w:sz="0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</w:t>
            </w:r>
          </w:p>
        </w:tc>
        <w:tc>
          <w:tcPr>
            <w:tcW w:w="2880" w:type="dxa"/>
            <w:tcBorders>
              <w:top w:val="dotted" w:color="00000A" w:sz="4" w:space="0"/>
              <w:left w:val="none" w:color="auto" w:sz="0" w:space="0"/>
              <w:bottom w:val="dotted" w:color="00000A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</w:t>
            </w:r>
          </w:p>
        </w:tc>
        <w:tc>
          <w:tcPr>
            <w:tcW w:w="1379" w:type="dxa"/>
            <w:tcBorders>
              <w:top w:val="none" w:color="auto" w:sz="0" w:space="0"/>
              <w:left w:val="none" w:color="auto" w:sz="0" w:space="0"/>
              <w:bottom w:val="dotted" w:color="00000A" w:sz="4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</w:t>
            </w:r>
          </w:p>
        </w:tc>
      </w:tr>
      <w:tr>
        <w:trPr>
          <w:trHeight w:val="287" w:hRule="atLeast"/>
        </w:trPr>
        <w:tc>
          <w:tcPr>
            <w:tcW w:w="4125" w:type="dxa"/>
            <w:gridSpan w:val="3"/>
            <w:tcBorders>
              <w:top w:val="double" w:color="00000A" w:sz="6" w:space="0"/>
              <w:left w:val="single" w:color="00000A" w:sz="8" w:space="0"/>
              <w:bottom w:val="single" w:color="00000A" w:sz="8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企　　業　　全　　体</w:t>
            </w:r>
          </w:p>
        </w:tc>
        <w:tc>
          <w:tcPr>
            <w:tcW w:w="2880" w:type="dxa"/>
            <w:tcBorders>
              <w:top w:val="none" w:color="auto" w:sz="0" w:space="0"/>
              <w:left w:val="none" w:color="auto" w:sz="0" w:space="0"/>
              <w:bottom w:val="single" w:color="00000A" w:sz="8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</w:t>
            </w:r>
          </w:p>
        </w:tc>
        <w:tc>
          <w:tcPr>
            <w:tcW w:w="1379" w:type="dxa"/>
            <w:tcBorders>
              <w:top w:val="none" w:color="auto" w:sz="0" w:space="0"/>
              <w:left w:val="none" w:color="auto" w:sz="0" w:space="0"/>
              <w:bottom w:val="single" w:color="00000A" w:sz="8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100.0 </w:t>
            </w:r>
          </w:p>
        </w:tc>
      </w:tr>
    </w:tbl>
    <w:p>
      <w:pPr>
        <w:pStyle w:val="0"/>
        <w:widowControl w:val="1"/>
        <w:jc w:val="left"/>
        <w:rPr>
          <w:rFonts w:hint="eastAsia" w:ascii="ＭＳ ゴシック" w:hAnsi="ＭＳ ゴシック" w:eastAsia="ＭＳ ゴシック"/>
          <w:sz w:val="24"/>
        </w:rPr>
      </w:pPr>
    </w:p>
    <w:tbl>
      <w:tblPr>
        <w:tblStyle w:val="11"/>
        <w:tblpPr w:leftFromText="0" w:rightFromText="0" w:topFromText="0" w:bottomFromText="0" w:vertAnchor="text" w:horzAnchor="margin" w:tblpX="39" w:tblpY="575"/>
        <w:tblOverlap w:val="never"/>
        <w:tblW w:w="8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39"/>
        <w:gridCol w:w="2724"/>
        <w:gridCol w:w="2724"/>
        <w:gridCol w:w="2361"/>
      </w:tblGrid>
      <w:tr>
        <w:trPr/>
        <w:tc>
          <w:tcPr>
            <w:tcW w:w="839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2724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原油等の最近１か月間の平均仕入単価</w:t>
            </w:r>
          </w:p>
        </w:tc>
        <w:tc>
          <w:tcPr>
            <w:tcW w:w="2724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原油等の前年同月の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平均仕入単価</w:t>
            </w:r>
          </w:p>
        </w:tc>
        <w:tc>
          <w:tcPr>
            <w:tcW w:w="2361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原油等の仕入単価の上昇率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E/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ｅ×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－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）</w:t>
            </w:r>
          </w:p>
        </w:tc>
      </w:tr>
      <w:tr>
        <w:trPr/>
        <w:tc>
          <w:tcPr>
            <w:tcW w:w="839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</w:t>
            </w:r>
          </w:p>
        </w:tc>
        <w:tc>
          <w:tcPr>
            <w:tcW w:w="2724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円【Ｅ】</w:t>
            </w:r>
          </w:p>
        </w:tc>
        <w:tc>
          <w:tcPr>
            <w:tcW w:w="2724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円【ｅ】</w:t>
            </w:r>
          </w:p>
        </w:tc>
        <w:tc>
          <w:tcPr>
            <w:tcW w:w="2361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suppressAutoHyphens w:val="1"/>
        <w:kinsoku w:val="0"/>
        <w:wordWrap w:val="0"/>
        <w:autoSpaceDE w:val="0"/>
        <w:autoSpaceDN w:val="0"/>
        <w:spacing w:before="195" w:beforeLines="50" w:beforeAutospacing="0" w:line="366" w:lineRule="atLeast"/>
        <w:ind w:left="-415" w:leftChars="-173" w:firstLine="204" w:firstLineChars="85"/>
        <w:jc w:val="left"/>
        <w:rPr>
          <w:rFonts w:hint="eastAsia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２　企業全体に係る原油等の最近１か月間の仕入単価の上昇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before="195" w:beforeLines="50" w:beforeAutospacing="0" w:line="366" w:lineRule="atLeast"/>
        <w:jc w:val="lef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before="195" w:beforeLines="50" w:beforeAutospacing="0" w:line="366" w:lineRule="atLeast"/>
        <w:ind w:leftChars="0" w:firstLineChars="0"/>
        <w:jc w:val="left"/>
        <w:rPr>
          <w:rFonts w:hint="eastAsia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３　企業全体の売上原価に占める原油等の仕入価格の割合</w:t>
      </w:r>
    </w:p>
    <w:tbl>
      <w:tblPr>
        <w:tblStyle w:val="11"/>
        <w:tblW w:w="8746" w:type="dxa"/>
        <w:jc w:val="left"/>
        <w:tblInd w:w="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40"/>
        <w:gridCol w:w="2713"/>
        <w:gridCol w:w="2463"/>
        <w:gridCol w:w="2730"/>
      </w:tblGrid>
      <w:tr>
        <w:trPr>
          <w:trHeight w:val="1147" w:hRule="atLeast"/>
        </w:trPr>
        <w:tc>
          <w:tcPr>
            <w:tcW w:w="84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2713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最近１か月間の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売上原価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2463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最近１か月間の売上原価に対応する原油等の仕入価格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売上原価に占める原油等の仕入価格の割合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S/C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）</w:t>
            </w:r>
          </w:p>
        </w:tc>
      </w:tr>
      <w:tr>
        <w:trPr>
          <w:trHeight w:val="363" w:hRule="atLeast"/>
        </w:trPr>
        <w:tc>
          <w:tcPr>
            <w:tcW w:w="84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</w:t>
            </w:r>
          </w:p>
        </w:tc>
        <w:tc>
          <w:tcPr>
            <w:tcW w:w="2713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円【Ｃ】</w:t>
            </w:r>
          </w:p>
        </w:tc>
        <w:tc>
          <w:tcPr>
            <w:tcW w:w="2463" w:type="dxa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円【Ｓ】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eastAsia" w:ascii="ＭＳ ゴシック" w:hAnsi="ＭＳ ゴシック" w:eastAsia="ＭＳ ゴシック"/>
          <w:b w:val="1"/>
          <w:color w:val="000000"/>
          <w:kern w:val="0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４</w:t>
      </w:r>
      <w:r>
        <w:rPr>
          <w:rFonts w:hint="eastAsia" w:ascii="ＭＳ ゴシック" w:hAnsi="ＭＳ ゴシック" w:eastAsia="ＭＳ ゴシック"/>
          <w:b w:val="1"/>
          <w:sz w:val="24"/>
        </w:rPr>
        <w:t xml:space="preserve"> </w:t>
      </w:r>
      <w:r>
        <w:rPr>
          <w:rFonts w:hint="eastAsia" w:ascii="ＭＳ ゴシック" w:hAnsi="ＭＳ ゴシック" w:eastAsia="ＭＳ ゴシック"/>
          <w:b w:val="1"/>
          <w:color w:val="000000"/>
          <w:kern w:val="0"/>
          <w:sz w:val="24"/>
        </w:rPr>
        <w:t>企業全体の製品等価格への転嫁の状況</w:t>
      </w:r>
    </w:p>
    <w:tbl>
      <w:tblPr>
        <w:tblStyle w:val="18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835"/>
        <w:gridCol w:w="3885"/>
        <w:gridCol w:w="3885"/>
      </w:tblGrid>
      <w:tr>
        <w:trPr/>
        <w:tc>
          <w:tcPr>
            <w:tcW w:w="835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月</w:t>
            </w:r>
          </w:p>
        </w:tc>
        <w:tc>
          <w:tcPr>
            <w:tcW w:w="3885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最近３か月間の原油等の仕入価格</w:t>
            </w:r>
          </w:p>
        </w:tc>
        <w:tc>
          <w:tcPr>
            <w:tcW w:w="3885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前年同期の原油等の仕入価格</w:t>
            </w: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0"/>
              </w:rPr>
            </w:pPr>
          </w:p>
        </w:tc>
        <w:tc>
          <w:tcPr>
            <w:tcW w:w="388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0"/>
              </w:rPr>
            </w:pPr>
          </w:p>
        </w:tc>
        <w:tc>
          <w:tcPr>
            <w:tcW w:w="388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0"/>
              </w:rPr>
            </w:pP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0"/>
              </w:rPr>
            </w:pPr>
          </w:p>
        </w:tc>
        <w:tc>
          <w:tcPr>
            <w:tcW w:w="3885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0"/>
              </w:rPr>
            </w:pPr>
          </w:p>
        </w:tc>
        <w:tc>
          <w:tcPr>
            <w:tcW w:w="388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0"/>
              </w:rPr>
            </w:pP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0"/>
              </w:rPr>
            </w:pPr>
          </w:p>
        </w:tc>
        <w:tc>
          <w:tcPr>
            <w:tcW w:w="388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0"/>
              </w:rPr>
            </w:pPr>
          </w:p>
        </w:tc>
        <w:tc>
          <w:tcPr>
            <w:tcW w:w="388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0"/>
              </w:rPr>
            </w:pP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合計</w:t>
            </w:r>
          </w:p>
        </w:tc>
        <w:tc>
          <w:tcPr>
            <w:tcW w:w="388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【Ａ】</w:t>
            </w:r>
            <w:r>
              <w:rPr>
                <w:rFonts w:hint="eastAsia" w:ascii="ＭＳ ゴシック" w:hAnsi="ＭＳ ゴシック" w:eastAsia="ＭＳ ゴシック"/>
                <w:b w:val="0"/>
                <w:sz w:val="24"/>
              </w:rPr>
              <w:t>　　　　　　　　　　</w:t>
            </w:r>
            <w:r>
              <w:rPr>
                <w:rFonts w:hint="eastAsia" w:ascii="ＭＳ ゴシック" w:hAnsi="ＭＳ ゴシック" w:eastAsia="ＭＳ ゴシック"/>
                <w:b w:val="0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0"/>
                <w:sz w:val="24"/>
              </w:rPr>
              <w:t>　円</w:t>
            </w:r>
          </w:p>
        </w:tc>
        <w:tc>
          <w:tcPr>
            <w:tcW w:w="3885" w:type="dxa"/>
            <w:vAlign w:val="top"/>
          </w:tcPr>
          <w:p>
            <w:pPr>
              <w:pStyle w:val="0"/>
              <w:wordWrap w:val="0"/>
              <w:ind w:rightChars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a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】</w:t>
            </w:r>
            <w:r>
              <w:rPr>
                <w:rFonts w:hint="eastAsia" w:ascii="ＭＳ ゴシック" w:hAnsi="ＭＳ ゴシック" w:eastAsia="ＭＳ ゴシック"/>
                <w:b w:val="0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0"/>
                <w:sz w:val="24"/>
              </w:rPr>
              <w:t>　　</w:t>
            </w:r>
            <w:r>
              <w:rPr>
                <w:rFonts w:hint="eastAsia" w:ascii="ＭＳ ゴシック" w:hAnsi="ＭＳ ゴシック" w:eastAsia="ＭＳ ゴシック"/>
                <w:b w:val="0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0"/>
                <w:sz w:val="24"/>
              </w:rPr>
              <w:t>　　　</w:t>
            </w:r>
            <w:r>
              <w:rPr>
                <w:rFonts w:hint="eastAsia" w:ascii="ＭＳ ゴシック" w:hAnsi="ＭＳ ゴシック" w:eastAsia="ＭＳ ゴシック"/>
                <w:b w:val="0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0"/>
                <w:sz w:val="24"/>
              </w:rPr>
              <w:t>　　　　　円</w:t>
            </w:r>
          </w:p>
        </w:tc>
      </w:tr>
    </w:tbl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eastAsia" w:ascii="ＭＳ ゴシック" w:hAnsi="ＭＳ ゴシック" w:eastAsia="ＭＳ ゴシック"/>
          <w:sz w:val="24"/>
        </w:rPr>
      </w:pPr>
    </w:p>
    <w:tbl>
      <w:tblPr>
        <w:tblStyle w:val="18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835"/>
        <w:gridCol w:w="3885"/>
        <w:gridCol w:w="3885"/>
      </w:tblGrid>
      <w:tr>
        <w:trPr/>
        <w:tc>
          <w:tcPr>
            <w:tcW w:w="835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月</w:t>
            </w:r>
          </w:p>
        </w:tc>
        <w:tc>
          <w:tcPr>
            <w:tcW w:w="3885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最近３か月間の企業全体の売上高</w:t>
            </w:r>
          </w:p>
        </w:tc>
        <w:tc>
          <w:tcPr>
            <w:tcW w:w="3885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前年同期の企業全体の売上高</w:t>
            </w: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0"/>
              </w:rPr>
            </w:pPr>
          </w:p>
        </w:tc>
        <w:tc>
          <w:tcPr>
            <w:tcW w:w="388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0"/>
              </w:rPr>
            </w:pPr>
          </w:p>
        </w:tc>
        <w:tc>
          <w:tcPr>
            <w:tcW w:w="388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0"/>
              </w:rPr>
            </w:pP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0"/>
              </w:rPr>
            </w:pPr>
          </w:p>
        </w:tc>
        <w:tc>
          <w:tcPr>
            <w:tcW w:w="3885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0"/>
              </w:rPr>
            </w:pPr>
          </w:p>
        </w:tc>
        <w:tc>
          <w:tcPr>
            <w:tcW w:w="388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0"/>
              </w:rPr>
            </w:pP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0"/>
              </w:rPr>
            </w:pPr>
          </w:p>
        </w:tc>
        <w:tc>
          <w:tcPr>
            <w:tcW w:w="388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0"/>
              </w:rPr>
            </w:pPr>
          </w:p>
        </w:tc>
        <w:tc>
          <w:tcPr>
            <w:tcW w:w="388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0"/>
              </w:rPr>
            </w:pP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合計</w:t>
            </w:r>
          </w:p>
        </w:tc>
        <w:tc>
          <w:tcPr>
            <w:tcW w:w="388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【Ｂ】</w:t>
            </w:r>
            <w:r>
              <w:rPr>
                <w:rFonts w:hint="eastAsia" w:ascii="ＭＳ ゴシック" w:hAnsi="ＭＳ ゴシック" w:eastAsia="ＭＳ ゴシック"/>
                <w:b w:val="0"/>
                <w:sz w:val="24"/>
              </w:rPr>
              <w:t>　　　　　　　　　　</w:t>
            </w:r>
            <w:r>
              <w:rPr>
                <w:rFonts w:hint="eastAsia" w:ascii="ＭＳ ゴシック" w:hAnsi="ＭＳ ゴシック" w:eastAsia="ＭＳ ゴシック"/>
                <w:b w:val="0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0"/>
                <w:sz w:val="24"/>
              </w:rPr>
              <w:t>　円</w:t>
            </w:r>
          </w:p>
        </w:tc>
        <w:tc>
          <w:tcPr>
            <w:tcW w:w="3885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b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】</w:t>
            </w:r>
            <w:r>
              <w:rPr>
                <w:rFonts w:hint="eastAsia" w:ascii="ＭＳ ゴシック" w:hAnsi="ＭＳ ゴシック" w:eastAsia="ＭＳ ゴシック"/>
                <w:b w:val="0"/>
                <w:sz w:val="24"/>
              </w:rPr>
              <w:t>　　　　</w:t>
            </w:r>
            <w:r>
              <w:rPr>
                <w:rFonts w:hint="eastAsia" w:ascii="ＭＳ ゴシック" w:hAnsi="ＭＳ ゴシック" w:eastAsia="ＭＳ ゴシック"/>
                <w:b w:val="0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0"/>
                <w:sz w:val="24"/>
              </w:rPr>
              <w:t>　　　　　　　円</w:t>
            </w:r>
          </w:p>
        </w:tc>
      </w:tr>
    </w:tbl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eastAsia" w:ascii="ＭＳ ゴシック" w:hAnsi="ＭＳ ゴシック" w:eastAsia="ＭＳ ゴシック"/>
          <w:sz w:val="24"/>
        </w:rPr>
      </w:pPr>
    </w:p>
    <w:tbl>
      <w:tblPr>
        <w:tblStyle w:val="11"/>
        <w:tblW w:w="7855" w:type="dxa"/>
        <w:jc w:val="left"/>
        <w:tblInd w:w="-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4915"/>
        <w:gridCol w:w="2940"/>
      </w:tblGrid>
      <w:tr>
        <w:trPr>
          <w:trHeight w:val="375" w:hRule="atLeast"/>
        </w:trPr>
        <w:tc>
          <w:tcPr>
            <w:tcW w:w="49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4"/>
                <w:u w:val="single" w:color="auto"/>
              </w:rPr>
            </w:pP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  <w:b w:val="1"/>
                <w:i w:val="0"/>
                <w:smallCaps w:val="0"/>
                <w:u w:val="single" w:color="auto"/>
              </w:rPr>
              <w:t>【Ａ】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u w:val="single" w:color="auto"/>
              </w:rPr>
              <w:t>　　　　　円　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u w:val="none" w:color="auto"/>
              </w:rPr>
              <w:t>　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u w:val="none" w:color="auto"/>
              </w:rPr>
              <w:t>_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u w:val="none" w:color="auto"/>
              </w:rPr>
              <w:t>　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u w:val="single" w:color="auto"/>
              </w:rPr>
              <w:t>【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u w:val="single" w:color="auto"/>
              </w:rPr>
              <w:t>a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u w:val="single" w:color="auto"/>
              </w:rPr>
              <w:t>】　　　　　円　</w:t>
            </w:r>
          </w:p>
        </w:tc>
        <w:tc>
          <w:tcPr>
            <w:tcW w:w="29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firstLine="120" w:firstLineChars="50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</w:rPr>
              <w:t>=</w:t>
            </w:r>
            <w:r>
              <w:rPr>
                <w:rFonts w:hint="eastAsia" w:ascii="ＭＳ ゴシック" w:hAnsi="ＭＳ ゴシック" w:eastAsia="ＭＳ ゴシック"/>
                <w:b w:val="1"/>
                <w:i w:val="0"/>
                <w:smallCaps w:val="0"/>
              </w:rPr>
              <w:t>【Ｐ】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</w:rPr>
              <w:t>　　　　　　　円</w:t>
            </w:r>
          </w:p>
        </w:tc>
      </w:tr>
      <w:tr>
        <w:trPr>
          <w:trHeight w:val="375" w:hRule="atLeast"/>
        </w:trPr>
        <w:tc>
          <w:tcPr>
            <w:tcW w:w="49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i w:val="0"/>
                <w:smallCaps w:val="0"/>
              </w:rPr>
              <w:t>【Ｂ】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</w:rPr>
              <w:t>　　　　　円　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</w:rPr>
              <w:t>　　【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</w:rPr>
              <w:t>b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</w:rPr>
              <w:t>】　　　　　円</w:t>
            </w:r>
          </w:p>
        </w:tc>
        <w:tc>
          <w:tcPr>
            <w:tcW w:w="29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</w:rPr>
            </w:pPr>
          </w:p>
        </w:tc>
      </w:tr>
    </w:tbl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eastAsia" w:ascii="ＭＳ ゴシック" w:hAnsi="ＭＳ ゴシック" w:eastAsia="ＭＳ ゴシック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eastAsia" w:ascii="ＭＳ ゴシック" w:hAnsi="ＭＳ ゴシック" w:eastAsia="ＭＳ ゴシック"/>
        </w:rPr>
      </w:pPr>
    </w:p>
    <w:p>
      <w:pPr>
        <w:pStyle w:val="0"/>
        <w:ind w:left="0" w:right="0" w:firstLine="840"/>
        <w:jc w:val="center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上記のとおり相違ありません。</w:t>
      </w:r>
    </w:p>
    <w:p>
      <w:pPr>
        <w:pStyle w:val="0"/>
        <w:ind w:left="0" w:right="0" w:firstLine="840"/>
        <w:jc w:val="righ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令和　　年　　月　　日</w:t>
      </w:r>
    </w:p>
    <w:p>
      <w:pPr>
        <w:pStyle w:val="0"/>
        <w:ind w:left="0" w:right="0" w:firstLine="840"/>
        <w:jc w:val="center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申請者</w:t>
      </w:r>
    </w:p>
    <w:p>
      <w:pPr>
        <w:pStyle w:val="0"/>
        <w:ind w:left="0" w:right="0" w:firstLine="840"/>
        <w:jc w:val="center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住　所</w:t>
      </w:r>
    </w:p>
    <w:p>
      <w:pPr>
        <w:pStyle w:val="0"/>
        <w:ind w:left="0" w:right="0" w:firstLine="840"/>
        <w:jc w:val="center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氏　名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eastAsia" w:ascii="ＭＳ ゴシック" w:hAnsi="ＭＳ ゴシック" w:eastAsia="ＭＳ ゴシック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269</TotalTime>
  <Pages>2</Pages>
  <Words>12</Words>
  <Characters>524</Characters>
  <Application>JUST Note</Application>
  <Lines>319</Lines>
  <Paragraphs>78</Paragraphs>
  <Company>伊勢市</Company>
  <CharactersWithSpaces>675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齊藤 那奈</dc:creator>
  <cp:lastModifiedBy>齊藤 那奈</cp:lastModifiedBy>
  <cp:lastPrinted>2024-11-14T05:59:30Z</cp:lastPrinted>
  <dcterms:created xsi:type="dcterms:W3CDTF">2024-11-14T01:38:00Z</dcterms:created>
  <dcterms:modified xsi:type="dcterms:W3CDTF">2024-11-15T04:24:32Z</dcterms:modified>
  <cp:revision>3</cp:revision>
</cp:coreProperties>
</file>