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1"/>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123825</wp:posOffset>
                </wp:positionH>
                <wp:positionV relativeFrom="paragraph">
                  <wp:posOffset>-191770</wp:posOffset>
                </wp:positionV>
                <wp:extent cx="5772150" cy="100965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772150"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5.1pt;mso-position-vertical-relative:text;mso-position-horizontal-relative:margin;v-text-anchor:top;position:absolute;height:79.5pt;mso-wrap-distance-top:0pt;width:454.5pt;mso-wrap-distance-left:9pt;margin-left:9.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bookmarkStart w:id="0" w:name="_GoBack"/>
      <w:bookmarkEnd w:id="0"/>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様式第４－④</w:t>
      </w:r>
    </w:p>
    <w:tbl>
      <w:tblPr>
        <w:tblStyle w:val="11"/>
        <w:tblW w:w="958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582"/>
      </w:tblGrid>
      <w:tr>
        <w:trPr/>
        <w:tc>
          <w:tcPr>
            <w:tcW w:w="95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伊</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勢</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市</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長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1"/>
                <w:u w:val="single" w:color="00000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u w:val="single" w:color="000000"/>
              </w:rPr>
              <w:t>住　所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氏　名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20" w:lineRule="exact"/>
              <w:jc w:val="center"/>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記</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１　事業開始年月日</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年　　月　　日</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２</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（１）売上高等</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（イ）最近１か月間の売上高等</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減少率　　　　％（実績）</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Ｃ－Ａ</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Ｃ</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default" w:ascii="ＭＳ ゴシック" w:hAnsi="ＭＳ ゴシック" w:eastAsia="ＭＳ ゴシック"/>
                <w:color w:val="000000"/>
                <w:kern w:val="0"/>
                <w:sz w:val="21"/>
              </w:rPr>
              <w:t>100</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Ａ：災害等の発生における最近１か月間の売上高等</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1"/>
                <w:u w:val="single" w:color="000000"/>
              </w:rPr>
            </w:pP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p>
          <w:p>
            <w:pPr>
              <w:pStyle w:val="0"/>
              <w:suppressAutoHyphens w:val="1"/>
              <w:kinsoku w:val="0"/>
              <w:wordWrap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Ｂ：令和元年１０月から１２月の売上高等</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1"/>
                <w:u w:val="single" w:color="000000"/>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20" w:lineRule="exact"/>
              <w:ind w:firstLine="1050" w:firstLineChars="5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Ｃ：令和元年１０月から１２月の平均売上高等</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1"/>
                <w:u w:val="single" w:color="000000"/>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　　　　　　　　　円</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1"/>
                <w:u w:val="single" w:color="auto"/>
              </w:rPr>
            </w:pP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auto"/>
              </w:rPr>
              <w:t>　Ｂ　</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1"/>
                <w:u w:val="single" w:color="000000"/>
              </w:rPr>
            </w:pP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３</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1"/>
                <w:u w:val="single" w:color="000000"/>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（ロ）最近３か月間の売上高等の実績見込み</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000000"/>
              </w:rPr>
              <w:t>減少率</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％（実績見込み）</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u w:val="single" w:color="auto"/>
              </w:rPr>
              <w:t>　Ｂ－（</w:t>
            </w:r>
            <w:r>
              <w:rPr>
                <w:rFonts w:hint="eastAsia" w:ascii="ＭＳ ゴシック" w:hAnsi="ＭＳ ゴシック" w:eastAsia="ＭＳ ゴシック"/>
                <w:color w:val="000000"/>
                <w:kern w:val="0"/>
                <w:sz w:val="21"/>
                <w:u w:val="single" w:color="000000"/>
              </w:rPr>
              <w:t>Ａ＋Ｄ）</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Ｂ　　　　</w:t>
            </w:r>
            <w:r>
              <w:rPr>
                <w:rFonts w:hint="eastAsia"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w:t>
            </w:r>
            <w:r>
              <w:rPr>
                <w:rFonts w:hint="default" w:ascii="ＭＳ ゴシック" w:hAnsi="ＭＳ ゴシック" w:eastAsia="ＭＳ ゴシック"/>
                <w:color w:val="000000"/>
                <w:kern w:val="0"/>
                <w:sz w:val="21"/>
              </w:rPr>
              <w:t>100</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spacing w:val="16"/>
                <w:kern w:val="0"/>
                <w:sz w:val="21"/>
              </w:rPr>
              <w:t>　</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Ｄ：Ａの期間後２か月間の見込み売上高等</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1"/>
              </w:rPr>
            </w:pPr>
            <w:r>
              <w:rPr>
                <w:rFonts w:hint="default" w:ascii="ＭＳ ゴシック" w:hAnsi="ＭＳ ゴシック" w:eastAsia="ＭＳ ゴシック"/>
                <w:color w:val="000000"/>
                <w:kern w:val="0"/>
                <w:sz w:val="21"/>
              </w:rPr>
              <w:t xml:space="preserve">    </w:t>
            </w:r>
            <w:r>
              <w:rPr>
                <w:rFonts w:hint="eastAsia" w:ascii="ＭＳ ゴシック" w:hAnsi="ＭＳ ゴシック" w:eastAsia="ＭＳ ゴシック"/>
                <w:color w:val="000000"/>
                <w:kern w:val="0"/>
                <w:sz w:val="21"/>
              </w:rPr>
              <w:t>　　　　　　　　　　　　　　　　　　　　　　　　　　　　　</w:t>
            </w:r>
            <w:r>
              <w:rPr>
                <w:rFonts w:hint="default" w:ascii="ＭＳ ゴシック" w:hAnsi="ＭＳ ゴシック" w:eastAsia="ＭＳ ゴシック"/>
                <w:color w:val="000000"/>
                <w:kern w:val="0"/>
                <w:sz w:val="21"/>
                <w:u w:val="single" w:color="000000"/>
              </w:rPr>
              <w:t xml:space="preserve">                  </w:t>
            </w:r>
            <w:r>
              <w:rPr>
                <w:rFonts w:hint="eastAsia" w:ascii="ＭＳ ゴシック" w:hAnsi="ＭＳ ゴシック" w:eastAsia="ＭＳ ゴシック"/>
                <w:color w:val="000000"/>
                <w:kern w:val="0"/>
                <w:sz w:val="21"/>
                <w:u w:val="single" w:color="000000"/>
              </w:rPr>
              <w:t>円</w:t>
            </w:r>
            <w:r>
              <w:rPr>
                <w:rFonts w:hint="default" w:ascii="ＭＳ ゴシック" w:hAnsi="ＭＳ ゴシック" w:eastAsia="ＭＳ ゴシック"/>
                <w:color w:val="000000"/>
                <w:kern w:val="0"/>
                <w:sz w:val="21"/>
              </w:rPr>
              <w:t xml:space="preserve">    </w:t>
            </w:r>
          </w:p>
          <w:p>
            <w:pPr>
              <w:pStyle w:val="0"/>
              <w:suppressAutoHyphens w:val="1"/>
              <w:kinsoku w:val="0"/>
              <w:wordWrap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rPr>
                <w:rFonts w:hint="default" w:ascii="ＭＳ ゴシック" w:hAnsi="ＭＳ ゴシック" w:eastAsia="ＭＳ ゴシック"/>
                <w:color w:val="000000"/>
                <w:spacing w:val="16"/>
                <w:kern w:val="0"/>
                <w:sz w:val="21"/>
              </w:rPr>
            </w:pPr>
          </w:p>
          <w:p>
            <w:pPr>
              <w:pStyle w:val="0"/>
              <w:rPr>
                <w:rFonts w:hint="default" w:ascii="ＭＳ ゴシック" w:hAnsi="ＭＳ ゴシック" w:eastAsia="ＭＳ ゴシック"/>
                <w:color w:val="000000"/>
                <w:spacing w:val="16"/>
                <w:kern w:val="0"/>
                <w:sz w:val="21"/>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（留意事項）</w:t>
      </w:r>
    </w:p>
    <w:p>
      <w:pPr>
        <w:pStyle w:val="0"/>
        <w:suppressAutoHyphens w:val="1"/>
        <w:wordWrap w:val="0"/>
        <w:spacing w:line="246" w:lineRule="exact"/>
        <w:ind w:left="0" w:leftChars="0" w:hanging="660" w:hangingChars="30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sz w:val="21"/>
        </w:rPr>
      </w:pPr>
      <w:r>
        <w:rPr>
          <w:rFonts w:hint="eastAsia" w:ascii="ＭＳ ゴシック" w:hAnsi="ＭＳ ゴシック" w:eastAsia="ＭＳ ゴシック"/>
          <w:color w:val="000000"/>
          <w:kern w:val="0"/>
          <w:sz w:val="21"/>
        </w:rPr>
        <w:t>②　本認定とは別に、金融機関及び信用保証協会による金融上の審査があります。</w:t>
      </w:r>
    </w:p>
    <w:p>
      <w:pPr>
        <w:pStyle w:val="0"/>
        <w:suppressAutoHyphens w:val="1"/>
        <w:wordWrap w:val="0"/>
        <w:spacing w:line="240" w:lineRule="exact"/>
        <w:ind w:left="0" w:leftChars="0" w:hanging="660" w:hangingChars="300"/>
        <w:jc w:val="left"/>
        <w:textAlignment w:val="baseline"/>
        <w:rPr>
          <w:rFonts w:hint="default" w:ascii="ＭＳ ゴシック" w:hAnsi="ＭＳ ゴシック" w:eastAsia="ＭＳ ゴシック"/>
          <w:color w:val="000000"/>
          <w:kern w:val="0"/>
          <w:sz w:val="21"/>
        </w:rPr>
      </w:pPr>
      <w:r>
        <w:rPr>
          <w:rFonts w:hint="eastAsia" w:ascii="ＭＳ ゴシック" w:hAnsi="ＭＳ ゴシック" w:eastAsia="ＭＳ ゴシック"/>
          <w:color w:val="000000"/>
          <w:kern w:val="0"/>
          <w:sz w:val="21"/>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right"/>
        <w:textAlignment w:val="baseline"/>
        <w:rPr>
          <w:rFonts w:hint="default" w:asciiTheme="majorEastAsia" w:hAnsiTheme="majorEastAsia" w:eastAsiaTheme="majorEastAsia"/>
          <w:sz w:val="21"/>
        </w:rPr>
      </w:pPr>
      <w:r>
        <w:rPr>
          <w:rFonts w:hint="eastAsia" w:asciiTheme="majorEastAsia" w:hAnsiTheme="majorEastAsia" w:eastAsiaTheme="majorEastAsia"/>
          <w:sz w:val="21"/>
        </w:rPr>
        <w:t>商第　　　　　号</w:t>
      </w:r>
    </w:p>
    <w:p>
      <w:pPr>
        <w:pStyle w:val="0"/>
        <w:jc w:val="right"/>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0"/>
        <w:jc w:val="left"/>
        <w:rPr>
          <w:rFonts w:hint="default" w:asciiTheme="majorEastAsia" w:hAnsiTheme="majorEastAsia" w:eastAsiaTheme="majorEastAsia"/>
          <w:sz w:val="21"/>
        </w:rPr>
      </w:pPr>
      <w:r>
        <w:rPr>
          <w:rFonts w:hint="eastAsia" w:asciiTheme="majorEastAsia" w:hAnsiTheme="majorEastAsia" w:eastAsiaTheme="majorEastAsia"/>
          <w:sz w:val="21"/>
        </w:rPr>
        <w:t>申請のとおり、相違ないことを認定します。</w:t>
      </w:r>
    </w:p>
    <w:p>
      <w:pPr>
        <w:pStyle w:val="0"/>
        <w:jc w:val="left"/>
        <w:rPr>
          <w:rFonts w:hint="default" w:asciiTheme="majorEastAsia" w:hAnsiTheme="majorEastAsia" w:eastAsiaTheme="majorEastAsia"/>
          <w:sz w:val="21"/>
        </w:rPr>
      </w:pPr>
      <w:r>
        <w:rPr>
          <w:rFonts w:hint="eastAsia" w:asciiTheme="majorEastAsia" w:hAnsiTheme="majorEastAsia" w:eastAsiaTheme="majorEastAsia"/>
          <w:sz w:val="21"/>
        </w:rPr>
        <w:t>（注）本認定書の有効期間：令和</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日から令和</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日まで</w:t>
      </w:r>
    </w:p>
    <w:p>
      <w:pPr>
        <w:pStyle w:val="0"/>
        <w:jc w:val="left"/>
        <w:rPr>
          <w:rFonts w:hint="default" w:asciiTheme="majorEastAsia" w:hAnsiTheme="majorEastAsia" w:eastAsiaTheme="majorEastAsia"/>
          <w:sz w:val="21"/>
        </w:rPr>
      </w:pPr>
    </w:p>
    <w:p>
      <w:pPr>
        <w:pStyle w:val="0"/>
        <w:jc w:val="left"/>
        <w:rPr>
          <w:rFonts w:hint="default" w:ascii="Century" w:hAnsi="Century" w:eastAsia="ＭＳ 明朝"/>
          <w:sz w:val="21"/>
        </w:rPr>
      </w:pPr>
      <w:r>
        <w:rPr>
          <w:rFonts w:hint="eastAsia" w:asciiTheme="majorEastAsia" w:hAnsiTheme="majorEastAsia" w:eastAsiaTheme="majorEastAsia"/>
          <w:sz w:val="21"/>
        </w:rPr>
        <w:t>　　　　　　　　　　　　　　　　　　　　　　認定者　　伊</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勢</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市</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長</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木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健</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一</w:t>
      </w:r>
    </w:p>
    <w:sectPr>
      <w:pgSz w:w="11906" w:h="16838"/>
      <w:pgMar w:top="567"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rPr>
      <w:rFonts w:ascii="Century" w:hAnsi="Century" w:eastAsia="ＭＳ 明朝"/>
      <w:sz w:val="24"/>
    </w:rPr>
  </w:style>
  <w:style w:type="character" w:styleId="23" w:customStyle="1">
    <w:name w:val="記 (文字)"/>
    <w:basedOn w:val="10"/>
    <w:next w:val="23"/>
    <w:link w:val="22"/>
    <w:uiPriority w:val="0"/>
    <w:rPr>
      <w:rFonts w:ascii="Century" w:hAnsi="Century" w:eastAsia="ＭＳ 明朝"/>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3</Words>
  <Characters>731</Characters>
  <Application>JUST Note</Application>
  <Lines>66</Lines>
  <Paragraphs>44</Paragraphs>
  <CharactersWithSpaces>1519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古川 治男</dc:creator>
  <cp:lastModifiedBy>濵地 正樹</cp:lastModifiedBy>
  <cp:lastPrinted>2023-09-06T00:15:27Z</cp:lastPrinted>
  <dcterms:created xsi:type="dcterms:W3CDTF">2014-03-27T23:46:00Z</dcterms:created>
  <dcterms:modified xsi:type="dcterms:W3CDTF">2023-09-04T09:06:13Z</dcterms:modified>
  <cp:revision>14</cp:revision>
</cp:coreProperties>
</file>