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jc w:val="center"/>
        <w:rPr>
          <w:rFonts w:hint="eastAsia" w:ascii="BIZ UDPゴシック" w:hAnsi="BIZ UDPゴシック" w:eastAsia="BIZ UDPゴシック"/>
          <w:strike w:val="0"/>
          <w:sz w:val="24"/>
          <w:u w:val="none" w:color="auto"/>
        </w:rPr>
      </w:pPr>
      <w:r>
        <w:rPr>
          <w:rFonts w:hint="eastAsia" w:ascii="BIZ UDPゴシック" w:hAnsi="BIZ UDPゴシック" w:eastAsia="BIZ UDPゴシック"/>
          <w:sz w:val="24"/>
        </w:rPr>
        <w:t>地域体制強化共同支援加算の取り扱いについて</w:t>
      </w:r>
    </w:p>
    <w:p>
      <w:pPr>
        <w:pStyle w:val="0"/>
        <w:autoSpaceDE w:val="0"/>
        <w:autoSpaceDN w:val="0"/>
        <w:adjustRightInd w:val="0"/>
        <w:jc w:val="center"/>
        <w:rPr>
          <w:rFonts w:hint="eastAsia" w:ascii="BIZ UDPゴシック" w:hAnsi="BIZ UDPゴシック" w:eastAsia="BIZ UDPゴシック"/>
          <w:strike w:val="0"/>
          <w:sz w:val="24"/>
          <w:u w:val="none" w:color="auto"/>
        </w:rPr>
      </w:pPr>
    </w:p>
    <w:p>
      <w:pPr>
        <w:pStyle w:val="0"/>
        <w:autoSpaceDE w:val="0"/>
        <w:autoSpaceDN w:val="0"/>
        <w:adjustRightInd w:val="0"/>
        <w:ind w:left="5880" w:leftChars="2450" w:firstLine="840" w:firstLineChars="350"/>
        <w:jc w:val="both"/>
        <w:rPr>
          <w:rFonts w:hint="eastAsia" w:ascii="BIZ UDPゴシック" w:hAnsi="BIZ UDPゴシック" w:eastAsia="BIZ UDPゴシック"/>
          <w:strike w:val="0"/>
          <w:sz w:val="24"/>
          <w:u w:val="none" w:color="auto"/>
        </w:rPr>
      </w:pPr>
      <w:r>
        <w:rPr>
          <w:rFonts w:hint="eastAsia" w:ascii="BIZ UDPゴシック" w:hAnsi="BIZ UDPゴシック" w:eastAsia="BIZ UDPゴシック"/>
          <w:sz w:val="24"/>
        </w:rPr>
        <w:t>伊勢市</w:t>
      </w:r>
    </w:p>
    <w:p>
      <w:pPr>
        <w:pStyle w:val="0"/>
        <w:autoSpaceDE w:val="0"/>
        <w:autoSpaceDN w:val="0"/>
        <w:adjustRightInd w:val="0"/>
        <w:rPr>
          <w:rFonts w:hint="eastAsia" w:ascii="BIZ UDPゴシック" w:hAnsi="BIZ UDPゴシック" w:eastAsia="BIZ UDPゴシック"/>
          <w:strike w:val="0"/>
          <w:sz w:val="24"/>
          <w:u w:val="none" w:color="auto"/>
        </w:rPr>
      </w:pPr>
    </w:p>
    <w:p>
      <w:pPr>
        <w:pStyle w:val="0"/>
        <w:autoSpaceDE w:val="0"/>
        <w:autoSpaceDN w:val="0"/>
        <w:adjustRightInd w:val="0"/>
        <w:ind w:firstLine="240" w:firstLineChars="100"/>
        <w:rPr>
          <w:rFonts w:hint="eastAsia" w:ascii="BIZ UDPゴシック" w:hAnsi="BIZ UDPゴシック" w:eastAsia="BIZ UDPゴシック"/>
          <w:strike w:val="0"/>
          <w:sz w:val="24"/>
          <w:u w:val="none" w:color="auto"/>
        </w:rPr>
      </w:pPr>
      <w:r>
        <w:rPr>
          <w:rFonts w:hint="eastAsia" w:ascii="BIZ UDPゴシック" w:hAnsi="BIZ UDPゴシック" w:eastAsia="BIZ UDPゴシック"/>
          <w:strike w:val="0"/>
          <w:sz w:val="24"/>
          <w:u w:val="none" w:color="auto"/>
        </w:rPr>
        <w:t>地域体制強化共同支援加算は、障害者の日常生活及び社会生活を総合的に支援するための法律に基づく指定計画相談支援に要する費用の額の算定に関する基準（平成</w:t>
      </w:r>
      <w:r>
        <w:rPr>
          <w:rFonts w:hint="eastAsia" w:ascii="BIZ UDPゴシック" w:hAnsi="BIZ UDPゴシック" w:eastAsia="BIZ UDPゴシック"/>
          <w:strike w:val="0"/>
          <w:sz w:val="24"/>
          <w:u w:val="none" w:color="auto"/>
        </w:rPr>
        <w:t>24</w:t>
      </w:r>
      <w:r>
        <w:rPr>
          <w:rFonts w:hint="eastAsia" w:ascii="BIZ UDPゴシック" w:hAnsi="BIZ UDPゴシック" w:eastAsia="BIZ UDPゴシック"/>
          <w:strike w:val="0"/>
          <w:sz w:val="24"/>
          <w:u w:val="none" w:color="auto"/>
        </w:rPr>
        <w:t>年厚生労働省告示第</w:t>
      </w:r>
      <w:r>
        <w:rPr>
          <w:rFonts w:hint="eastAsia" w:ascii="BIZ UDPゴシック" w:hAnsi="BIZ UDPゴシック" w:eastAsia="BIZ UDPゴシック"/>
          <w:strike w:val="0"/>
          <w:sz w:val="24"/>
          <w:u w:val="none" w:color="auto"/>
        </w:rPr>
        <w:t>125</w:t>
      </w:r>
      <w:r>
        <w:rPr>
          <w:rFonts w:hint="eastAsia" w:ascii="BIZ UDPゴシック" w:hAnsi="BIZ UDPゴシック" w:eastAsia="BIZ UDPゴシック"/>
          <w:strike w:val="0"/>
          <w:sz w:val="24"/>
          <w:u w:val="none" w:color="auto"/>
        </w:rPr>
        <w:t>号）に規定されており、本市においてもこの規定により取り扱うものであるが、伊勢市障害者施策推進協議会（以下「協議会」という。）への報告など、その運用については、次のとおり整理することとする。</w:t>
      </w:r>
    </w:p>
    <w:p>
      <w:pPr>
        <w:pStyle w:val="0"/>
        <w:autoSpaceDE w:val="0"/>
        <w:autoSpaceDN w:val="0"/>
        <w:adjustRightInd w:val="0"/>
        <w:rPr>
          <w:rFonts w:hint="eastAsia" w:ascii="BIZ UDPゴシック" w:hAnsi="BIZ UDPゴシック" w:eastAsia="BIZ UDPゴシック"/>
          <w:strike w:val="0"/>
          <w:sz w:val="24"/>
          <w:u w:val="none" w:color="auto"/>
        </w:rPr>
      </w:pPr>
    </w:p>
    <w:p>
      <w:pPr>
        <w:pStyle w:val="0"/>
        <w:autoSpaceDE w:val="0"/>
        <w:autoSpaceDN w:val="0"/>
        <w:adjustRightInd w:val="0"/>
        <w:rPr>
          <w:rFonts w:hint="eastAsia" w:ascii="BIZ UDPゴシック" w:hAnsi="BIZ UDPゴシック" w:eastAsia="BIZ UDPゴシック"/>
          <w:b w:val="1"/>
          <w:strike w:val="0"/>
          <w:sz w:val="24"/>
          <w:u w:val="none" w:color="auto"/>
        </w:rPr>
      </w:pPr>
      <w:r>
        <w:rPr>
          <w:rFonts w:hint="eastAsia" w:ascii="BIZ UDPゴシック" w:hAnsi="BIZ UDPゴシック" w:eastAsia="BIZ UDPゴシック"/>
          <w:b w:val="1"/>
          <w:strike w:val="0"/>
          <w:sz w:val="24"/>
          <w:u w:val="none" w:color="auto"/>
        </w:rPr>
        <w:t>１　国の示す内容</w:t>
      </w:r>
    </w:p>
    <w:p>
      <w:pPr>
        <w:pStyle w:val="0"/>
        <w:autoSpaceDE w:val="0"/>
        <w:autoSpaceDN w:val="0"/>
        <w:adjustRightInd w:val="0"/>
        <w:rPr>
          <w:rFonts w:hint="eastAsia" w:ascii="BIZ UDPゴシック" w:hAnsi="BIZ UDPゴシック" w:eastAsia="BIZ UDPゴシック"/>
          <w:strike w:val="0"/>
          <w:sz w:val="24"/>
          <w:u w:val="none" w:color="auto"/>
        </w:rPr>
      </w:pPr>
      <w:r>
        <w:rPr>
          <w:rFonts w:hint="eastAsia" w:ascii="BIZ UDPゴシック" w:hAnsi="BIZ UDPゴシック" w:eastAsia="BIZ UDPゴシック"/>
          <w:strike w:val="0"/>
          <w:sz w:val="24"/>
          <w:u w:val="none" w:color="auto"/>
        </w:rPr>
        <w:t>【目的】</w:t>
      </w:r>
    </w:p>
    <w:p>
      <w:pPr>
        <w:pStyle w:val="0"/>
        <w:autoSpaceDE w:val="0"/>
        <w:autoSpaceDN w:val="0"/>
        <w:adjustRightInd w:val="0"/>
        <w:ind w:firstLine="240" w:firstLineChars="100"/>
        <w:rPr>
          <w:rFonts w:hint="eastAsia" w:ascii="BIZ UDPゴシック" w:hAnsi="BIZ UDPゴシック" w:eastAsia="BIZ UDPゴシック"/>
          <w:strike w:val="0"/>
          <w:sz w:val="24"/>
          <w:u w:val="none" w:color="auto"/>
        </w:rPr>
      </w:pPr>
      <w:r>
        <w:rPr>
          <w:rFonts w:hint="eastAsia" w:ascii="BIZ UDPゴシック" w:hAnsi="BIZ UDPゴシック" w:eastAsia="BIZ UDPゴシック"/>
          <w:strike w:val="0"/>
          <w:sz w:val="24"/>
          <w:u w:val="none" w:color="auto"/>
        </w:rPr>
        <w:t>地域生活支援拠点等（以下「拠点等」という。）の必要な地域の体制づくりの機能として、地域の様々なニーズに対応出来るサービス提供体制の確保や、地域の社会資源の連携体制の構築を行うことを目的とする。</w:t>
      </w:r>
    </w:p>
    <w:p>
      <w:pPr>
        <w:pStyle w:val="0"/>
        <w:autoSpaceDE w:val="0"/>
        <w:autoSpaceDN w:val="0"/>
        <w:adjustRightInd w:val="0"/>
        <w:rPr>
          <w:rFonts w:hint="eastAsia" w:ascii="BIZ UDPゴシック" w:hAnsi="BIZ UDPゴシック" w:eastAsia="BIZ UDPゴシック"/>
          <w:strike w:val="0"/>
          <w:sz w:val="24"/>
          <w:u w:val="none" w:color="auto"/>
        </w:rPr>
      </w:pPr>
      <w:r>
        <w:rPr>
          <w:rFonts w:hint="eastAsia" w:ascii="BIZ UDPゴシック" w:hAnsi="BIZ UDPゴシック" w:eastAsia="BIZ UDPゴシック"/>
          <w:strike w:val="0"/>
          <w:sz w:val="24"/>
          <w:u w:val="none" w:color="auto"/>
        </w:rPr>
        <w:t>【要件】</w:t>
      </w:r>
    </w:p>
    <w:p>
      <w:pPr>
        <w:pStyle w:val="17"/>
        <w:numPr>
          <w:ilvl w:val="0"/>
          <w:numId w:val="1"/>
        </w:numPr>
        <w:autoSpaceDE w:val="0"/>
        <w:autoSpaceDN w:val="0"/>
        <w:adjustRightInd w:val="0"/>
        <w:ind w:left="420" w:leftChars="0" w:hanging="180" w:firstLineChars="0"/>
        <w:rPr>
          <w:rFonts w:hint="eastAsia" w:ascii="BIZ UDPゴシック" w:hAnsi="BIZ UDPゴシック" w:eastAsia="BIZ UDPゴシック"/>
          <w:strike w:val="0"/>
          <w:sz w:val="24"/>
          <w:u w:val="none" w:color="auto"/>
        </w:rPr>
      </w:pPr>
      <w:r>
        <w:rPr>
          <w:rFonts w:hint="eastAsia" w:ascii="BIZ UDPゴシック" w:hAnsi="BIZ UDPゴシック" w:eastAsia="BIZ UDPゴシック"/>
          <w:strike w:val="0"/>
          <w:sz w:val="24"/>
          <w:u w:val="none" w:color="auto"/>
        </w:rPr>
        <w:t>拠点等であること</w:t>
      </w:r>
    </w:p>
    <w:p>
      <w:pPr>
        <w:pStyle w:val="17"/>
        <w:numPr>
          <w:ilvl w:val="0"/>
          <w:numId w:val="1"/>
        </w:numPr>
        <w:autoSpaceDE w:val="0"/>
        <w:autoSpaceDN w:val="0"/>
        <w:adjustRightInd w:val="0"/>
        <w:ind w:left="420" w:leftChars="0" w:hanging="180" w:firstLineChars="0"/>
        <w:rPr>
          <w:rFonts w:hint="eastAsia" w:ascii="BIZ UDPゴシック" w:hAnsi="BIZ UDPゴシック" w:eastAsia="BIZ UDPゴシック"/>
          <w:strike w:val="0"/>
          <w:sz w:val="24"/>
          <w:u w:val="none" w:color="auto"/>
        </w:rPr>
      </w:pPr>
      <w:r>
        <w:rPr>
          <w:rFonts w:hint="eastAsia" w:ascii="BIZ UDPゴシック" w:hAnsi="BIZ UDPゴシック" w:eastAsia="BIZ UDPゴシック"/>
          <w:strike w:val="0"/>
          <w:sz w:val="24"/>
          <w:u w:val="none" w:color="auto"/>
        </w:rPr>
        <w:t>支援が困難な対象者であること</w:t>
      </w:r>
    </w:p>
    <w:p>
      <w:pPr>
        <w:pStyle w:val="17"/>
        <w:numPr>
          <w:ilvl w:val="0"/>
          <w:numId w:val="1"/>
        </w:numPr>
        <w:autoSpaceDE w:val="0"/>
        <w:autoSpaceDN w:val="0"/>
        <w:adjustRightInd w:val="0"/>
        <w:ind w:left="420" w:leftChars="0" w:hanging="180" w:firstLineChars="0"/>
        <w:rPr>
          <w:rFonts w:hint="eastAsia" w:ascii="BIZ UDPゴシック" w:hAnsi="BIZ UDPゴシック" w:eastAsia="BIZ UDPゴシック"/>
          <w:strike w:val="0"/>
          <w:sz w:val="24"/>
          <w:u w:val="none" w:color="auto"/>
        </w:rPr>
      </w:pPr>
      <w:r>
        <w:rPr>
          <w:rFonts w:hint="eastAsia" w:ascii="BIZ UDPゴシック" w:hAnsi="BIZ UDPゴシック" w:eastAsia="BIZ UDPゴシック"/>
          <w:strike w:val="0"/>
          <w:sz w:val="24"/>
          <w:u w:val="none" w:color="auto"/>
        </w:rPr>
        <w:t>本人の同意を得ていること</w:t>
      </w:r>
    </w:p>
    <w:p>
      <w:pPr>
        <w:pStyle w:val="17"/>
        <w:numPr>
          <w:ilvl w:val="0"/>
          <w:numId w:val="1"/>
        </w:numPr>
        <w:autoSpaceDE w:val="0"/>
        <w:autoSpaceDN w:val="0"/>
        <w:adjustRightInd w:val="0"/>
        <w:ind w:left="420" w:leftChars="0" w:hanging="180" w:firstLineChars="0"/>
        <w:rPr>
          <w:rFonts w:hint="eastAsia" w:ascii="BIZ UDPゴシック" w:hAnsi="BIZ UDPゴシック" w:eastAsia="BIZ UDPゴシック"/>
          <w:strike w:val="0"/>
          <w:sz w:val="24"/>
          <w:u w:val="none" w:color="auto"/>
        </w:rPr>
      </w:pPr>
      <w:r>
        <w:rPr>
          <w:rFonts w:hint="eastAsia" w:ascii="BIZ UDPゴシック" w:hAnsi="BIZ UDPゴシック" w:eastAsia="BIZ UDPゴシック"/>
          <w:strike w:val="0"/>
          <w:sz w:val="24"/>
          <w:u w:val="none" w:color="auto"/>
        </w:rPr>
        <w:t>指定特定相談支援事業者が３者以上の事業者と共同していること</w:t>
      </w:r>
    </w:p>
    <w:p>
      <w:pPr>
        <w:pStyle w:val="17"/>
        <w:numPr>
          <w:ilvl w:val="0"/>
          <w:numId w:val="1"/>
        </w:numPr>
        <w:autoSpaceDE w:val="0"/>
        <w:autoSpaceDN w:val="0"/>
        <w:adjustRightInd w:val="0"/>
        <w:ind w:left="420" w:leftChars="0" w:hanging="180" w:firstLineChars="0"/>
        <w:rPr>
          <w:rFonts w:hint="eastAsia" w:ascii="BIZ UDPゴシック" w:hAnsi="BIZ UDPゴシック" w:eastAsia="BIZ UDPゴシック"/>
          <w:strike w:val="0"/>
          <w:sz w:val="24"/>
          <w:u w:val="none" w:color="auto"/>
        </w:rPr>
      </w:pPr>
      <w:r>
        <w:rPr>
          <w:rFonts w:hint="eastAsia" w:ascii="BIZ UDPゴシック" w:hAnsi="BIZ UDPゴシック" w:eastAsia="BIZ UDPゴシック"/>
          <w:strike w:val="0"/>
          <w:sz w:val="24"/>
          <w:u w:val="none" w:color="auto"/>
        </w:rPr>
        <w:t>支援関係者が会議により情報共有及び支援内容の検討を行うこと</w:t>
      </w:r>
    </w:p>
    <w:p>
      <w:pPr>
        <w:pStyle w:val="17"/>
        <w:numPr>
          <w:ilvl w:val="0"/>
          <w:numId w:val="1"/>
        </w:numPr>
        <w:autoSpaceDE w:val="0"/>
        <w:autoSpaceDN w:val="0"/>
        <w:adjustRightInd w:val="0"/>
        <w:ind w:left="420" w:leftChars="0" w:hanging="180" w:firstLineChars="0"/>
        <w:rPr>
          <w:rFonts w:hint="eastAsia" w:ascii="BIZ UDPゴシック" w:hAnsi="BIZ UDPゴシック" w:eastAsia="BIZ UDPゴシック"/>
          <w:strike w:val="0"/>
          <w:sz w:val="24"/>
          <w:u w:val="none" w:color="auto"/>
        </w:rPr>
      </w:pPr>
      <w:r>
        <w:rPr>
          <w:rFonts w:hint="eastAsia" w:ascii="BIZ UDPゴシック" w:hAnsi="BIZ UDPゴシック" w:eastAsia="BIZ UDPゴシック"/>
          <w:strike w:val="0"/>
          <w:sz w:val="24"/>
          <w:u w:val="none" w:color="auto"/>
        </w:rPr>
        <w:t>在宅での療養又は地域生活上必要な説明及び指導を行うこと</w:t>
      </w:r>
    </w:p>
    <w:p>
      <w:pPr>
        <w:pStyle w:val="17"/>
        <w:numPr>
          <w:ilvl w:val="0"/>
          <w:numId w:val="1"/>
        </w:numPr>
        <w:autoSpaceDE w:val="0"/>
        <w:autoSpaceDN w:val="0"/>
        <w:adjustRightInd w:val="0"/>
        <w:ind w:left="420" w:leftChars="0" w:hanging="180" w:firstLineChars="0"/>
        <w:rPr>
          <w:rFonts w:hint="eastAsia" w:ascii="BIZ UDPゴシック" w:hAnsi="BIZ UDPゴシック" w:eastAsia="BIZ UDPゴシック"/>
          <w:strike w:val="0"/>
          <w:sz w:val="24"/>
          <w:u w:val="none" w:color="auto"/>
        </w:rPr>
      </w:pPr>
      <w:r>
        <w:rPr>
          <w:rFonts w:hint="eastAsia" w:ascii="BIZ UDPゴシック" w:hAnsi="BIZ UDPゴシック" w:eastAsia="BIZ UDPゴシック"/>
          <w:strike w:val="0"/>
          <w:sz w:val="24"/>
          <w:u w:val="none" w:color="auto"/>
        </w:rPr>
        <w:t>地域課題を整理し、協議会に別途定める様式（文書）にて報告すること</w:t>
      </w:r>
    </w:p>
    <w:p>
      <w:pPr>
        <w:pStyle w:val="17"/>
        <w:numPr>
          <w:ilvl w:val="0"/>
          <w:numId w:val="1"/>
        </w:numPr>
        <w:autoSpaceDE w:val="0"/>
        <w:autoSpaceDN w:val="0"/>
        <w:adjustRightInd w:val="0"/>
        <w:ind w:left="420" w:leftChars="0" w:hanging="180" w:firstLineChars="0"/>
        <w:rPr>
          <w:rFonts w:hint="eastAsia" w:ascii="BIZ UDPゴシック" w:hAnsi="BIZ UDPゴシック" w:eastAsia="BIZ UDPゴシック"/>
          <w:strike w:val="0"/>
          <w:sz w:val="24"/>
          <w:u w:val="none" w:color="auto"/>
        </w:rPr>
      </w:pPr>
      <w:r>
        <w:rPr>
          <w:rFonts w:hint="eastAsia" w:ascii="BIZ UDPゴシック" w:hAnsi="BIZ UDPゴシック" w:eastAsia="BIZ UDPゴシック"/>
          <w:strike w:val="0"/>
          <w:sz w:val="24"/>
          <w:u w:val="none" w:color="auto"/>
        </w:rPr>
        <w:t>会議の内容を記録して保存すること</w:t>
      </w:r>
    </w:p>
    <w:p>
      <w:pPr>
        <w:pStyle w:val="0"/>
        <w:autoSpaceDE w:val="0"/>
        <w:autoSpaceDN w:val="0"/>
        <w:adjustRightInd w:val="0"/>
        <w:rPr>
          <w:rFonts w:hint="eastAsia" w:ascii="BIZ UDPゴシック" w:hAnsi="BIZ UDPゴシック" w:eastAsia="BIZ UDPゴシック"/>
          <w:strike w:val="0"/>
          <w:sz w:val="24"/>
          <w:u w:val="none" w:color="auto"/>
        </w:rPr>
      </w:pPr>
      <w:r>
        <w:rPr>
          <w:rFonts w:hint="eastAsia" w:ascii="BIZ UDPゴシック" w:hAnsi="BIZ UDPゴシック" w:eastAsia="BIZ UDPゴシック"/>
          <w:strike w:val="0"/>
          <w:sz w:val="24"/>
          <w:u w:val="none" w:color="auto"/>
        </w:rPr>
        <w:t>【報酬】</w:t>
      </w:r>
    </w:p>
    <w:p>
      <w:pPr>
        <w:pStyle w:val="0"/>
        <w:autoSpaceDE w:val="0"/>
        <w:autoSpaceDN w:val="0"/>
        <w:adjustRightInd w:val="0"/>
        <w:ind w:firstLine="240" w:firstLineChars="100"/>
        <w:rPr>
          <w:rFonts w:hint="eastAsia" w:ascii="BIZ UDPゴシック" w:hAnsi="BIZ UDPゴシック" w:eastAsia="BIZ UDPゴシック"/>
          <w:strike w:val="0"/>
          <w:sz w:val="24"/>
          <w:u w:val="none" w:color="auto"/>
        </w:rPr>
      </w:pPr>
      <w:r>
        <w:rPr>
          <w:rFonts w:hint="eastAsia" w:ascii="BIZ UDPゴシック" w:hAnsi="BIZ UDPゴシック" w:eastAsia="BIZ UDPゴシック"/>
          <w:strike w:val="0"/>
          <w:sz w:val="24"/>
          <w:u w:val="none" w:color="auto"/>
        </w:rPr>
        <w:t>利用者一人につき</w:t>
      </w:r>
      <w:r>
        <w:rPr>
          <w:rFonts w:hint="eastAsia" w:ascii="BIZ UDPゴシック" w:hAnsi="BIZ UDPゴシック" w:eastAsia="BIZ UDPゴシック"/>
          <w:strike w:val="0"/>
          <w:sz w:val="24"/>
          <w:u w:val="none" w:color="auto"/>
        </w:rPr>
        <w:t>2,000</w:t>
      </w:r>
      <w:r>
        <w:rPr>
          <w:rFonts w:hint="eastAsia" w:ascii="BIZ UDPゴシック" w:hAnsi="BIZ UDPゴシック" w:eastAsia="BIZ UDPゴシック"/>
          <w:strike w:val="0"/>
          <w:sz w:val="24"/>
          <w:u w:val="none" w:color="auto"/>
        </w:rPr>
        <w:t>単位／月</w:t>
      </w:r>
    </w:p>
    <w:p>
      <w:pPr>
        <w:pStyle w:val="0"/>
        <w:autoSpaceDE w:val="0"/>
        <w:autoSpaceDN w:val="0"/>
        <w:adjustRightInd w:val="0"/>
        <w:rPr>
          <w:rFonts w:hint="eastAsia" w:ascii="BIZ UDPゴシック" w:hAnsi="BIZ UDPゴシック" w:eastAsia="BIZ UDPゴシック"/>
          <w:strike w:val="0"/>
          <w:sz w:val="24"/>
          <w:u w:val="none" w:color="auto"/>
        </w:rPr>
      </w:pPr>
    </w:p>
    <w:p>
      <w:pPr>
        <w:pStyle w:val="0"/>
        <w:autoSpaceDE w:val="0"/>
        <w:autoSpaceDN w:val="0"/>
        <w:adjustRightInd w:val="0"/>
        <w:rPr>
          <w:rFonts w:hint="eastAsia" w:ascii="BIZ UDPゴシック" w:hAnsi="BIZ UDPゴシック" w:eastAsia="BIZ UDPゴシック"/>
          <w:b w:val="1"/>
          <w:strike w:val="0"/>
          <w:sz w:val="24"/>
          <w:u w:val="none" w:color="auto"/>
        </w:rPr>
      </w:pPr>
      <w:r>
        <w:rPr>
          <w:rFonts w:hint="eastAsia" w:ascii="BIZ UDPゴシック" w:hAnsi="BIZ UDPゴシック" w:eastAsia="BIZ UDPゴシック"/>
          <w:b w:val="1"/>
          <w:strike w:val="0"/>
          <w:sz w:val="24"/>
          <w:u w:val="none" w:color="auto"/>
        </w:rPr>
        <w:t>２　本市における取扱いの考え方</w:t>
      </w:r>
    </w:p>
    <w:p>
      <w:pPr>
        <w:pStyle w:val="17"/>
        <w:numPr>
          <w:ilvl w:val="0"/>
          <w:numId w:val="1"/>
        </w:numPr>
        <w:autoSpaceDE w:val="0"/>
        <w:autoSpaceDN w:val="0"/>
        <w:adjustRightInd w:val="0"/>
        <w:ind w:left="420" w:leftChars="0" w:hanging="180" w:firstLineChars="0"/>
        <w:rPr>
          <w:rFonts w:hint="eastAsia" w:ascii="BIZ UDPゴシック" w:hAnsi="BIZ UDPゴシック" w:eastAsia="BIZ UDPゴシック"/>
          <w:strike w:val="0"/>
          <w:sz w:val="24"/>
          <w:u w:val="none" w:color="auto"/>
        </w:rPr>
      </w:pPr>
      <w:r>
        <w:rPr>
          <w:rFonts w:hint="eastAsia" w:ascii="BIZ UDPゴシック" w:hAnsi="BIZ UDPゴシック" w:eastAsia="BIZ UDPゴシック"/>
          <w:strike w:val="0"/>
          <w:sz w:val="24"/>
          <w:u w:val="none" w:color="auto"/>
        </w:rPr>
        <w:t>本加算は、その目的に照らし、地域の体制づくりに資するものでなければならず、当該事業所における事業運営の都合が優先されてはならないものである。</w:t>
      </w:r>
    </w:p>
    <w:p>
      <w:pPr>
        <w:pStyle w:val="17"/>
        <w:numPr>
          <w:ilvl w:val="0"/>
          <w:numId w:val="1"/>
        </w:numPr>
        <w:autoSpaceDE w:val="0"/>
        <w:autoSpaceDN w:val="0"/>
        <w:adjustRightInd w:val="0"/>
        <w:ind w:left="420" w:leftChars="0" w:hanging="180" w:firstLineChars="0"/>
        <w:rPr>
          <w:rFonts w:hint="eastAsia" w:ascii="BIZ UDPゴシック" w:hAnsi="BIZ UDPゴシック" w:eastAsia="BIZ UDPゴシック"/>
          <w:strike w:val="0"/>
          <w:sz w:val="24"/>
          <w:u w:val="none" w:color="auto"/>
        </w:rPr>
      </w:pPr>
      <w:r>
        <w:rPr>
          <w:rFonts w:hint="eastAsia" w:ascii="BIZ UDPゴシック" w:hAnsi="BIZ UDPゴシック" w:eastAsia="BIZ UDPゴシック"/>
          <w:strike w:val="0"/>
          <w:sz w:val="24"/>
          <w:u w:val="none" w:color="auto"/>
        </w:rPr>
        <w:t>また、報告の対象となる事例は、支援が困難で、地域の体制づくりが求められるものであることから、対象者の支援を検討するにあたっては、伊勢市障がい者基幹相談支援センター（以下「基幹相談支援センター」という。）と連携されていることが望ましい。</w:t>
      </w:r>
    </w:p>
    <w:p>
      <w:pPr>
        <w:pStyle w:val="17"/>
        <w:numPr>
          <w:ilvl w:val="0"/>
          <w:numId w:val="1"/>
        </w:numPr>
        <w:autoSpaceDE w:val="0"/>
        <w:autoSpaceDN w:val="0"/>
        <w:adjustRightInd w:val="0"/>
        <w:ind w:left="420" w:leftChars="0" w:hanging="180" w:firstLineChars="0"/>
        <w:rPr>
          <w:rFonts w:hint="eastAsia" w:ascii="BIZ UDPゴシック" w:hAnsi="BIZ UDPゴシック" w:eastAsia="BIZ UDPゴシック"/>
          <w:strike w:val="0"/>
          <w:sz w:val="24"/>
          <w:u w:val="none" w:color="auto"/>
        </w:rPr>
      </w:pPr>
      <w:r>
        <w:rPr>
          <w:rFonts w:hint="eastAsia" w:ascii="BIZ UDPゴシック" w:hAnsi="BIZ UDPゴシック" w:eastAsia="BIZ UDPゴシック"/>
          <w:strike w:val="0"/>
          <w:sz w:val="24"/>
          <w:u w:val="none" w:color="auto"/>
        </w:rPr>
        <w:t>本加算に係る報告は、支援内容や実践例の報告ではなく、当該地域の課題が整理された報告でなければならない。</w:t>
      </w:r>
    </w:p>
    <w:p>
      <w:pPr>
        <w:pStyle w:val="17"/>
        <w:numPr>
          <w:ilvl w:val="0"/>
          <w:numId w:val="1"/>
        </w:numPr>
        <w:autoSpaceDE w:val="0"/>
        <w:autoSpaceDN w:val="0"/>
        <w:adjustRightInd w:val="0"/>
        <w:ind w:left="420" w:leftChars="0" w:hanging="180" w:firstLineChars="0"/>
        <w:rPr>
          <w:rFonts w:hint="eastAsia" w:ascii="BIZ UDPゴシック" w:hAnsi="BIZ UDPゴシック" w:eastAsia="BIZ UDPゴシック"/>
          <w:strike w:val="0"/>
          <w:sz w:val="24"/>
          <w:u w:val="none" w:color="auto"/>
        </w:rPr>
      </w:pPr>
      <w:r>
        <w:rPr>
          <w:rFonts w:hint="eastAsia" w:ascii="BIZ UDPゴシック" w:hAnsi="BIZ UDPゴシック" w:eastAsia="BIZ UDPゴシック"/>
          <w:strike w:val="0"/>
          <w:sz w:val="24"/>
          <w:u w:val="none" w:color="auto"/>
        </w:rPr>
        <w:t>そのため、新たな地域課題が明らかになった場合を除き、原則として、同一の対象者に係る報告を繰り返し行うような取扱いは想定しない。</w:t>
      </w:r>
    </w:p>
    <w:p>
      <w:pPr>
        <w:pStyle w:val="17"/>
        <w:numPr>
          <w:ilvl w:val="0"/>
          <w:numId w:val="1"/>
        </w:numPr>
        <w:autoSpaceDE w:val="0"/>
        <w:autoSpaceDN w:val="0"/>
        <w:adjustRightInd w:val="0"/>
        <w:ind w:left="420" w:leftChars="0" w:hanging="180" w:firstLineChars="0"/>
        <w:rPr>
          <w:rFonts w:hint="eastAsia" w:ascii="BIZ UDPゴシック" w:hAnsi="BIZ UDPゴシック" w:eastAsia="BIZ UDPゴシック"/>
          <w:strike w:val="0"/>
          <w:sz w:val="24"/>
          <w:u w:val="none" w:color="auto"/>
        </w:rPr>
      </w:pPr>
      <w:r>
        <w:rPr>
          <w:rFonts w:hint="eastAsia" w:ascii="BIZ UDPゴシック" w:hAnsi="BIZ UDPゴシック" w:eastAsia="BIZ UDPゴシック"/>
          <w:strike w:val="0"/>
          <w:sz w:val="24"/>
          <w:u w:val="none" w:color="auto"/>
        </w:rPr>
        <w:t>本加算の算定に当たっ</w:t>
      </w:r>
      <w:bookmarkStart w:id="0" w:name="_GoBack"/>
      <w:bookmarkEnd w:id="0"/>
      <w:r>
        <w:rPr>
          <w:rFonts w:hint="eastAsia" w:ascii="BIZ UDPゴシック" w:hAnsi="BIZ UDPゴシック" w:eastAsia="BIZ UDPゴシック"/>
          <w:strike w:val="0"/>
          <w:sz w:val="24"/>
          <w:u w:val="none" w:color="auto"/>
        </w:rPr>
        <w:t>ては、算定する事業所において加算の目的や要件が十分に認識されたうえで取組が行われ、適切に請求されるよう、事業者に対して周知徹底を</w:t>
      </w:r>
      <w:r>
        <w:rPr>
          <w:rFonts w:hint="eastAsia" w:ascii="BIZ UDPゴシック" w:hAnsi="BIZ UDPゴシック" w:eastAsia="BIZ UDPゴシック"/>
          <w:sz w:val="24"/>
        </w:rPr>
        <w:t>図ることとする。</w:t>
      </w:r>
    </w:p>
    <w:p>
      <w:pPr>
        <w:pStyle w:val="0"/>
        <w:numPr>
          <w:ilvl w:val="0"/>
          <w:numId w:val="1"/>
        </w:numPr>
        <w:autoSpaceDE w:val="0"/>
        <w:autoSpaceDN w:val="0"/>
        <w:adjustRightInd w:val="0"/>
        <w:ind w:left="420" w:leftChars="0" w:hanging="180" w:firstLineChars="0"/>
        <w:rPr>
          <w:rFonts w:hint="eastAsia" w:ascii="BIZ UDPゴシック" w:hAnsi="BIZ UDPゴシック" w:eastAsia="BIZ UDPゴシック"/>
          <w:strike w:val="0"/>
          <w:sz w:val="24"/>
          <w:u w:val="none" w:color="auto"/>
        </w:rPr>
      </w:pPr>
      <w:r>
        <w:rPr>
          <w:rFonts w:hint="eastAsia" w:ascii="BIZ UDPゴシック" w:hAnsi="BIZ UDPゴシック" w:eastAsia="BIZ UDPゴシック"/>
          <w:strike w:val="0"/>
          <w:sz w:val="24"/>
          <w:u w:val="none" w:color="auto"/>
        </w:rPr>
        <w:t>協議会に対する報告に際しては、支援事例の蓄積や地域課題の検討のために必要かつ十分な報告となるよう、提出すべき報告様式を設定するとともに、当該事業所職員が協議会（自立支援部会の相談支援ネットワークグループ会議）へ出席しての報告を求めることとする。</w:t>
      </w:r>
    </w:p>
    <w:p>
      <w:pPr>
        <w:pStyle w:val="0"/>
        <w:numPr>
          <w:ilvl w:val="0"/>
          <w:numId w:val="1"/>
        </w:numPr>
        <w:autoSpaceDE w:val="0"/>
        <w:autoSpaceDN w:val="0"/>
        <w:adjustRightInd w:val="0"/>
        <w:ind w:left="420" w:leftChars="0" w:hanging="180" w:firstLineChars="0"/>
        <w:rPr>
          <w:rFonts w:hint="eastAsia" w:ascii="BIZ UDPゴシック" w:hAnsi="BIZ UDPゴシック" w:eastAsia="BIZ UDPゴシック"/>
          <w:strike w:val="0"/>
          <w:sz w:val="24"/>
          <w:u w:val="none" w:color="auto"/>
        </w:rPr>
      </w:pPr>
      <w:r>
        <w:rPr>
          <w:rFonts w:hint="eastAsia" w:ascii="BIZ UDPゴシック" w:hAnsi="BIZ UDPゴシック" w:eastAsia="BIZ UDPゴシック"/>
          <w:strike w:val="0"/>
          <w:sz w:val="24"/>
          <w:u w:val="none" w:color="auto"/>
        </w:rPr>
        <w:t>報告様式は事前に基幹相談支援センターへ提出し、基幹相談支援センターが指定する相談支援ネットワークグループ会議にて報告を行う。</w:t>
      </w:r>
    </w:p>
    <w:p>
      <w:pPr>
        <w:pStyle w:val="0"/>
        <w:numPr>
          <w:ilvl w:val="0"/>
          <w:numId w:val="1"/>
        </w:numPr>
        <w:autoSpaceDE w:val="0"/>
        <w:autoSpaceDN w:val="0"/>
        <w:adjustRightInd w:val="0"/>
        <w:ind w:left="420" w:leftChars="0" w:hanging="180" w:firstLineChars="0"/>
        <w:rPr>
          <w:rFonts w:hint="eastAsia" w:ascii="BIZ UDPゴシック" w:hAnsi="BIZ UDPゴシック" w:eastAsia="BIZ UDPゴシック"/>
          <w:strike w:val="0"/>
          <w:sz w:val="24"/>
          <w:u w:val="none" w:color="auto"/>
        </w:rPr>
      </w:pPr>
      <w:r>
        <w:rPr>
          <w:rFonts w:hint="eastAsia" w:ascii="BIZ UDPゴシック" w:hAnsi="BIZ UDPゴシック" w:eastAsia="BIZ UDPゴシック"/>
          <w:strike w:val="0"/>
          <w:sz w:val="24"/>
          <w:u w:val="none" w:color="auto"/>
        </w:rPr>
        <w:t>協議会に対しては、個別ケースから地域課題を抽出し、社会資源の改善・開発など地域づくりに取り組む機能を発揮するため、市の実情に応じて、積極的に報告を活用し、集約された地域課題について、地域として具体的にどのような対応が可能かを検討するよう周知する。</w:t>
      </w:r>
    </w:p>
    <w:p>
      <w:pPr>
        <w:pStyle w:val="0"/>
        <w:numPr>
          <w:ilvl w:val="0"/>
          <w:numId w:val="1"/>
        </w:numPr>
        <w:autoSpaceDE w:val="0"/>
        <w:autoSpaceDN w:val="0"/>
        <w:adjustRightInd w:val="0"/>
        <w:ind w:left="420" w:leftChars="0" w:hanging="180" w:firstLineChars="0"/>
        <w:rPr>
          <w:rFonts w:hint="eastAsia" w:ascii="BIZ UDPゴシック" w:hAnsi="BIZ UDPゴシック" w:eastAsia="BIZ UDPゴシック"/>
          <w:strike w:val="0"/>
          <w:sz w:val="24"/>
          <w:u w:val="none" w:color="auto"/>
        </w:rPr>
      </w:pPr>
      <w:r>
        <w:rPr>
          <w:rFonts w:hint="eastAsia" w:ascii="BIZ UDPゴシック" w:hAnsi="BIZ UDPゴシック" w:eastAsia="BIZ UDPゴシック"/>
          <w:strike w:val="0"/>
          <w:sz w:val="24"/>
          <w:u w:val="none" w:color="auto"/>
        </w:rPr>
        <w:t>事業所における記録の参考として、国の示す標準様式を別紙「地域体制強化共同支援加算　記録書」のとおり提示する。</w:t>
      </w:r>
    </w:p>
    <w:p>
      <w:pPr>
        <w:pStyle w:val="0"/>
        <w:numPr>
          <w:ilvl w:val="0"/>
          <w:numId w:val="1"/>
        </w:numPr>
        <w:autoSpaceDE w:val="0"/>
        <w:autoSpaceDN w:val="0"/>
        <w:adjustRightInd w:val="0"/>
        <w:ind w:left="420" w:leftChars="0" w:hanging="180" w:firstLineChars="0"/>
        <w:rPr>
          <w:rFonts w:hint="eastAsia" w:ascii="BIZ UDPゴシック" w:hAnsi="BIZ UDPゴシック" w:eastAsia="BIZ UDPゴシック"/>
          <w:strike w:val="0"/>
          <w:sz w:val="24"/>
          <w:u w:val="none" w:color="auto"/>
        </w:rPr>
      </w:pPr>
      <w:r>
        <w:rPr>
          <w:rFonts w:hint="eastAsia" w:ascii="BIZ UDPゴシック" w:hAnsi="BIZ UDPゴシック" w:eastAsia="BIZ UDPゴシック"/>
          <w:strike w:val="0"/>
          <w:sz w:val="24"/>
          <w:u w:val="none" w:color="auto"/>
        </w:rPr>
        <w:t>当該会議が、指定継続サービス利用支援を行うに当たり実施されているなど、所定の要件を満たす場合は、サービス担当者会議実施加算を算定して差し支えないものとする。</w:t>
      </w:r>
    </w:p>
    <w:p>
      <w:pPr>
        <w:pStyle w:val="0"/>
        <w:numPr>
          <w:ilvl w:val="0"/>
          <w:numId w:val="1"/>
        </w:numPr>
        <w:autoSpaceDE w:val="0"/>
        <w:autoSpaceDN w:val="0"/>
        <w:adjustRightInd w:val="0"/>
        <w:ind w:left="420" w:leftChars="0" w:hanging="180" w:firstLineChars="0"/>
        <w:rPr>
          <w:rFonts w:hint="eastAsia" w:ascii="BIZ UDPゴシック" w:hAnsi="BIZ UDPゴシック" w:eastAsia="BIZ UDPゴシック"/>
          <w:strike w:val="0"/>
          <w:sz w:val="24"/>
          <w:u w:val="none" w:color="auto"/>
        </w:rPr>
      </w:pPr>
      <w:r>
        <w:rPr>
          <w:rFonts w:hint="eastAsia" w:ascii="BIZ UDPゴシック" w:hAnsi="BIZ UDPゴシック" w:eastAsia="BIZ UDPゴシック"/>
          <w:strike w:val="0"/>
          <w:sz w:val="24"/>
          <w:u w:val="none" w:color="auto"/>
        </w:rPr>
        <w:t>本取り扱いは、障がい児相談支援にも適用する。</w:t>
      </w:r>
    </w:p>
    <w:p>
      <w:pPr>
        <w:pStyle w:val="0"/>
        <w:numPr>
          <w:numId w:val="0"/>
        </w:numPr>
        <w:autoSpaceDE w:val="0"/>
        <w:autoSpaceDN w:val="0"/>
        <w:adjustRightInd w:val="0"/>
        <w:ind w:leftChars="0" w:firstLineChars="0"/>
        <w:rPr>
          <w:rFonts w:hint="eastAsia" w:ascii="BIZ UDPゴシック" w:hAnsi="BIZ UDPゴシック" w:eastAsia="BIZ UDPゴシック"/>
          <w:strike w:val="0"/>
          <w:sz w:val="24"/>
          <w:u w:val="none" w:color="auto"/>
        </w:rPr>
      </w:pPr>
    </w:p>
    <w:p>
      <w:pPr>
        <w:rPr>
          <w:rFonts w:hint="eastAsia" w:ascii="BIZ UDPゴシック" w:hAnsi="BIZ UDPゴシック" w:eastAsia="BIZ UDPゴシック"/>
          <w:sz w:val="24"/>
        </w:rPr>
        <w:sectPr>
          <w:pgSz w:w="11906" w:h="16838"/>
          <w:pgMar w:top="1985" w:right="1701" w:bottom="1701" w:left="1701" w:header="851" w:footer="992" w:gutter="0"/>
          <w:pgBorders w:zOrder="front" w:display="allPages" w:offsetFrom="page"/>
          <w:cols w:space="720"/>
          <w:textDirection w:val="lrTb"/>
          <w:docGrid w:type="lines" w:linePitch="390"/>
        </w:sectPr>
      </w:pPr>
    </w:p>
    <w:p>
      <w:pPr>
        <w:pStyle w:val="0"/>
        <w:numPr>
          <w:numId w:val="0"/>
        </w:numPr>
        <w:autoSpaceDE w:val="0"/>
        <w:autoSpaceDN w:val="0"/>
        <w:adjustRightInd w:val="0"/>
        <w:ind w:leftChars="0" w:firstLineChars="0"/>
        <w:jc w:val="center"/>
        <w:rPr>
          <w:rFonts w:hint="eastAsia" w:ascii="ＭＳ 明朝" w:hAnsi="ＭＳ 明朝" w:eastAsia="ＭＳ 明朝"/>
          <w:strike w:val="0"/>
          <w:sz w:val="24"/>
          <w:u w:val="none" w:color="auto"/>
        </w:rPr>
      </w:pPr>
      <w:r>
        <w:rPr>
          <w:rFonts w:hint="eastAsia" w:ascii="ＭＳ 明朝" w:hAnsi="ＭＳ 明朝" w:eastAsia="ＭＳ 明朝"/>
          <w:sz w:val="24"/>
        </w:rPr>
        <w:t>（参考）条文抜粋</w:t>
      </w:r>
    </w:p>
    <w:p>
      <w:pPr>
        <w:pStyle w:val="0"/>
        <w:autoSpaceDE w:val="0"/>
        <w:autoSpaceDN w:val="0"/>
        <w:adjustRightInd w:val="0"/>
        <w:rPr>
          <w:rFonts w:hint="eastAsia" w:ascii="ＭＳ 明朝" w:hAnsi="ＭＳ 明朝" w:eastAsia="ＭＳ 明朝"/>
          <w:strike w:val="0"/>
          <w:sz w:val="24"/>
          <w:u w:val="none" w:color="auto"/>
        </w:rPr>
      </w:pPr>
    </w:p>
    <w:p>
      <w:pPr>
        <w:pStyle w:val="0"/>
        <w:autoSpaceDE w:val="0"/>
        <w:autoSpaceDN w:val="0"/>
        <w:adjustRightInd w:val="0"/>
        <w:rPr>
          <w:rFonts w:hint="eastAsia" w:ascii="ＭＳ 明朝" w:hAnsi="ＭＳ 明朝" w:eastAsia="ＭＳ 明朝"/>
          <w:strike w:val="0"/>
          <w:sz w:val="24"/>
          <w:u w:val="none" w:color="auto"/>
        </w:rPr>
      </w:pPr>
      <w:r>
        <w:rPr>
          <w:rFonts w:hint="eastAsia" w:ascii="ＭＳ 明朝" w:hAnsi="ＭＳ 明朝" w:eastAsia="ＭＳ 明朝"/>
          <w:strike w:val="0"/>
          <w:sz w:val="24"/>
          <w:u w:val="none" w:color="auto"/>
        </w:rPr>
        <w:t>【報酬告示】</w:t>
      </w:r>
    </w:p>
    <w:p>
      <w:pPr>
        <w:pStyle w:val="0"/>
        <w:autoSpaceDE w:val="0"/>
        <w:autoSpaceDN w:val="0"/>
        <w:adjustRightInd w:val="0"/>
        <w:rPr>
          <w:rFonts w:hint="eastAsia" w:ascii="ＭＳ 明朝" w:hAnsi="ＭＳ 明朝" w:eastAsia="ＭＳ 明朝"/>
          <w:strike w:val="0"/>
          <w:sz w:val="24"/>
          <w:u w:val="none" w:color="auto"/>
        </w:rPr>
      </w:pPr>
      <w:r>
        <w:rPr>
          <w:rFonts w:hint="eastAsia" w:ascii="ＭＳ 明朝" w:hAnsi="ＭＳ 明朝" w:eastAsia="ＭＳ 明朝"/>
          <w:strike w:val="0"/>
          <w:sz w:val="24"/>
          <w:u w:val="none" w:color="auto"/>
        </w:rPr>
        <w:t>17</w:t>
      </w:r>
      <w:r>
        <w:rPr>
          <w:rFonts w:hint="eastAsia" w:ascii="ＭＳ 明朝" w:hAnsi="ＭＳ 明朝" w:eastAsia="ＭＳ 明朝"/>
          <w:strike w:val="0"/>
          <w:sz w:val="24"/>
          <w:u w:val="none" w:color="auto"/>
        </w:rPr>
        <w:t>　地域体制強化共同支援加算　</w:t>
      </w:r>
      <w:r>
        <w:rPr>
          <w:rFonts w:hint="eastAsia" w:ascii="ＭＳ 明朝" w:hAnsi="ＭＳ 明朝" w:eastAsia="ＭＳ 明朝"/>
          <w:strike w:val="0"/>
          <w:sz w:val="24"/>
          <w:u w:val="none" w:color="auto"/>
        </w:rPr>
        <w:t>2,000</w:t>
      </w:r>
      <w:r>
        <w:rPr>
          <w:rFonts w:hint="eastAsia" w:ascii="ＭＳ 明朝" w:hAnsi="ＭＳ 明朝" w:eastAsia="ＭＳ 明朝"/>
          <w:strike w:val="0"/>
          <w:sz w:val="24"/>
          <w:u w:val="none" w:color="auto"/>
        </w:rPr>
        <w:t>単位</w:t>
      </w:r>
    </w:p>
    <w:p>
      <w:pPr>
        <w:pStyle w:val="0"/>
        <w:autoSpaceDE w:val="0"/>
        <w:autoSpaceDN w:val="0"/>
        <w:adjustRightInd w:val="0"/>
        <w:rPr>
          <w:rFonts w:hint="eastAsia" w:ascii="ＭＳ 明朝" w:hAnsi="ＭＳ 明朝" w:eastAsia="ＭＳ 明朝"/>
          <w:strike w:val="0"/>
          <w:sz w:val="24"/>
          <w:u w:val="none" w:color="auto"/>
        </w:rPr>
      </w:pPr>
      <w:r>
        <w:rPr>
          <w:rFonts w:hint="eastAsia" w:ascii="ＭＳ 明朝" w:hAnsi="ＭＳ 明朝" w:eastAsia="ＭＳ 明朝"/>
          <w:strike w:val="0"/>
          <w:sz w:val="24"/>
          <w:u w:val="none" w:color="auto"/>
        </w:rPr>
        <w:t>注　別に厚生労働大臣が定める基準に適合するものとして市町村長に届け出た指定特定相談支援事業所の相談支援専門員が、計画相談支援対象障害者等の同意を得て、当該計画相談支援対象障害者等に対して、当該計画相談支援対象障害者等に指定基準第２条第３項に規定する福祉サービス等を提供する事業者のうちいずれか３者以上と共同して、在宅での療養上必要な説明及び指導を行った上で、協議会に対し、文書により当該説明及び指導の内容等を報告した場合に、当該計画相談支援対象障害者等に対して指定サービス利用支援を行っている指定特定相談支援事業所において、当該計画相談支援対象障害者等１人につき１月に１回を限度として所定単位数を加算する。</w:t>
      </w:r>
    </w:p>
    <w:p>
      <w:pPr>
        <w:pStyle w:val="0"/>
        <w:autoSpaceDE w:val="0"/>
        <w:autoSpaceDN w:val="0"/>
        <w:adjustRightInd w:val="0"/>
        <w:rPr>
          <w:rFonts w:hint="eastAsia" w:ascii="ＭＳ 明朝" w:hAnsi="ＭＳ 明朝" w:eastAsia="ＭＳ 明朝"/>
          <w:strike w:val="0"/>
          <w:sz w:val="24"/>
          <w:u w:val="none" w:color="auto"/>
        </w:rPr>
      </w:pPr>
    </w:p>
    <w:p>
      <w:pPr>
        <w:pStyle w:val="0"/>
        <w:autoSpaceDE w:val="0"/>
        <w:autoSpaceDN w:val="0"/>
        <w:adjustRightInd w:val="0"/>
        <w:rPr>
          <w:rFonts w:hint="eastAsia" w:ascii="ＭＳ 明朝" w:hAnsi="ＭＳ 明朝" w:eastAsia="ＭＳ 明朝"/>
          <w:strike w:val="0"/>
          <w:sz w:val="24"/>
          <w:u w:val="none" w:color="auto"/>
        </w:rPr>
      </w:pPr>
      <w:r>
        <w:rPr>
          <w:rFonts w:hint="eastAsia" w:ascii="ＭＳ 明朝" w:hAnsi="ＭＳ 明朝" w:eastAsia="ＭＳ 明朝"/>
          <w:strike w:val="0"/>
          <w:sz w:val="24"/>
          <w:u w:val="none" w:color="auto"/>
        </w:rPr>
        <w:t>【留意事項通知】</w:t>
      </w:r>
    </w:p>
    <w:p>
      <w:pPr>
        <w:pStyle w:val="0"/>
        <w:autoSpaceDE w:val="0"/>
        <w:autoSpaceDN w:val="0"/>
        <w:adjustRightInd w:val="0"/>
        <w:rPr>
          <w:rFonts w:hint="eastAsia" w:ascii="ＭＳ 明朝" w:hAnsi="ＭＳ 明朝" w:eastAsia="ＭＳ 明朝"/>
          <w:strike w:val="0"/>
          <w:sz w:val="24"/>
          <w:u w:val="none" w:color="auto"/>
        </w:rPr>
      </w:pPr>
      <w:r>
        <w:rPr>
          <w:rFonts w:hint="eastAsia" w:ascii="ＭＳ 明朝" w:hAnsi="ＭＳ 明朝" w:eastAsia="ＭＳ 明朝"/>
          <w:strike w:val="0"/>
          <w:sz w:val="24"/>
          <w:u w:val="none" w:color="auto"/>
        </w:rPr>
        <w:t>17</w:t>
      </w:r>
      <w:r>
        <w:rPr>
          <w:rFonts w:hint="eastAsia" w:ascii="ＭＳ 明朝" w:hAnsi="ＭＳ 明朝" w:eastAsia="ＭＳ 明朝"/>
          <w:strike w:val="0"/>
          <w:sz w:val="24"/>
          <w:u w:val="none" w:color="auto"/>
        </w:rPr>
        <w:t>．地域体制強化共同支援加算</w:t>
      </w:r>
    </w:p>
    <w:p>
      <w:pPr>
        <w:pStyle w:val="0"/>
        <w:autoSpaceDE w:val="0"/>
        <w:autoSpaceDN w:val="0"/>
        <w:adjustRightInd w:val="0"/>
        <w:rPr>
          <w:rFonts w:hint="eastAsia" w:ascii="ＭＳ 明朝" w:hAnsi="ＭＳ 明朝" w:eastAsia="ＭＳ 明朝"/>
          <w:strike w:val="0"/>
          <w:sz w:val="24"/>
          <w:u w:val="none" w:color="auto"/>
        </w:rPr>
      </w:pPr>
      <w:r>
        <w:rPr>
          <w:rFonts w:hint="eastAsia" w:ascii="ＭＳ 明朝" w:hAnsi="ＭＳ 明朝" w:eastAsia="ＭＳ 明朝"/>
          <w:strike w:val="0"/>
          <w:sz w:val="24"/>
          <w:u w:val="none" w:color="auto"/>
        </w:rPr>
        <w:t>（１）趣旨</w:t>
      </w:r>
    </w:p>
    <w:p>
      <w:pPr>
        <w:pStyle w:val="0"/>
        <w:autoSpaceDE w:val="0"/>
        <w:autoSpaceDN w:val="0"/>
        <w:adjustRightInd w:val="0"/>
        <w:ind w:firstLine="240" w:firstLineChars="100"/>
        <w:rPr>
          <w:rFonts w:hint="eastAsia" w:ascii="ＭＳ 明朝" w:hAnsi="ＭＳ 明朝" w:eastAsia="ＭＳ 明朝"/>
          <w:strike w:val="0"/>
          <w:sz w:val="24"/>
          <w:u w:val="none" w:color="auto"/>
        </w:rPr>
      </w:pPr>
      <w:r>
        <w:rPr>
          <w:rFonts w:hint="eastAsia" w:ascii="ＭＳ 明朝" w:hAnsi="ＭＳ 明朝" w:eastAsia="ＭＳ 明朝"/>
          <w:strike w:val="0"/>
          <w:sz w:val="24"/>
          <w:u w:val="none" w:color="auto"/>
        </w:rPr>
        <w:t>当該加算は、地域生活支援拠点等の必要な地域の体制づくりの機能として、地域の様々なニーズに対応出来るサービス提供体制の確保や、地域の社会資源の連携体制の構築を行うことを目的とするものであり、この加算の対象となる事業所については地域生活支援拠点等であることを十分に踏まえ、当該加算の趣旨に合致した適切な運用を図られるよう留意されたい。</w:t>
      </w:r>
    </w:p>
    <w:p>
      <w:pPr>
        <w:pStyle w:val="0"/>
        <w:autoSpaceDE w:val="0"/>
        <w:autoSpaceDN w:val="0"/>
        <w:adjustRightInd w:val="0"/>
        <w:ind w:firstLine="240" w:firstLineChars="100"/>
        <w:rPr>
          <w:rFonts w:hint="eastAsia" w:ascii="ＭＳ 明朝" w:hAnsi="ＭＳ 明朝" w:eastAsia="ＭＳ 明朝"/>
          <w:strike w:val="0"/>
          <w:sz w:val="24"/>
          <w:u w:val="none" w:color="auto"/>
        </w:rPr>
      </w:pPr>
    </w:p>
    <w:p>
      <w:pPr>
        <w:pStyle w:val="0"/>
        <w:autoSpaceDE w:val="0"/>
        <w:autoSpaceDN w:val="0"/>
        <w:adjustRightInd w:val="0"/>
        <w:rPr>
          <w:rFonts w:hint="eastAsia" w:ascii="ＭＳ 明朝" w:hAnsi="ＭＳ 明朝" w:eastAsia="ＭＳ 明朝"/>
          <w:strike w:val="0"/>
          <w:sz w:val="24"/>
          <w:u w:val="none" w:color="auto"/>
        </w:rPr>
      </w:pPr>
      <w:r>
        <w:rPr>
          <w:rFonts w:hint="eastAsia" w:ascii="ＭＳ 明朝" w:hAnsi="ＭＳ 明朝" w:eastAsia="ＭＳ 明朝"/>
          <w:strike w:val="0"/>
          <w:sz w:val="24"/>
          <w:u w:val="none" w:color="auto"/>
        </w:rPr>
        <w:t>（２）算定に当たっての留意事項</w:t>
      </w:r>
    </w:p>
    <w:p>
      <w:pPr>
        <w:pStyle w:val="0"/>
        <w:autoSpaceDE w:val="0"/>
        <w:autoSpaceDN w:val="0"/>
        <w:adjustRightInd w:val="0"/>
        <w:ind w:firstLine="240" w:firstLineChars="100"/>
        <w:rPr>
          <w:rFonts w:hint="eastAsia" w:ascii="ＭＳ 明朝" w:hAnsi="ＭＳ 明朝" w:eastAsia="ＭＳ 明朝"/>
          <w:strike w:val="0"/>
          <w:sz w:val="24"/>
          <w:u w:val="none" w:color="auto"/>
        </w:rPr>
      </w:pPr>
      <w:r>
        <w:rPr>
          <w:rFonts w:hint="eastAsia" w:ascii="ＭＳ 明朝" w:hAnsi="ＭＳ 明朝" w:eastAsia="ＭＳ 明朝"/>
          <w:strike w:val="0"/>
          <w:sz w:val="24"/>
          <w:u w:val="none" w:color="auto"/>
        </w:rPr>
        <w:t>当該加算は、支援が困難な計画相談支援対象障害者等に対して、当該指定特定相談支援事業所の相談支援専門員と福祉サービスを提供する事業者の職員等（以下「支援関係者」という。）が、会議により情報共有及び支援内容を検討し、在宅での療養又は地域において生活する上で必要となる説明及び指導等の必要な支援を共同して実施するとともに、地域課題を整理し、協議会等に報告を行った場合に加算するものである。</w:t>
      </w:r>
    </w:p>
    <w:p>
      <w:pPr>
        <w:pStyle w:val="0"/>
        <w:autoSpaceDE w:val="0"/>
        <w:autoSpaceDN w:val="0"/>
        <w:adjustRightInd w:val="0"/>
        <w:ind w:firstLine="240" w:firstLineChars="100"/>
        <w:rPr>
          <w:rFonts w:hint="eastAsia" w:ascii="ＭＳ 明朝" w:hAnsi="ＭＳ 明朝" w:eastAsia="ＭＳ 明朝"/>
          <w:strike w:val="0"/>
          <w:sz w:val="24"/>
          <w:u w:val="none" w:color="auto"/>
        </w:rPr>
      </w:pPr>
      <w:r>
        <w:rPr>
          <w:rFonts w:hint="eastAsia" w:ascii="ＭＳ 明朝" w:hAnsi="ＭＳ 明朝" w:eastAsia="ＭＳ 明朝"/>
          <w:strike w:val="0"/>
          <w:sz w:val="24"/>
          <w:u w:val="none" w:color="auto"/>
        </w:rPr>
        <w:t>なお、当該加算は、支援が困難な計画相談支援対象障害者等に係る支援等を行う指定特定相談支援事業所のみが算定できるものであるが、当該指定特定相談支援事業所の支援等に係る業務負担のみを評価するものではなく、その他の支援関係者の業務負担も評価する趣旨のものである。そのため、その他の支援関係者が支援等を行うに当たり要した費用については、指定特定相談支援事業所が負担することが望ましいものであること。</w:t>
      </w:r>
    </w:p>
    <w:p>
      <w:pPr>
        <w:pStyle w:val="0"/>
        <w:autoSpaceDE w:val="0"/>
        <w:autoSpaceDN w:val="0"/>
        <w:adjustRightInd w:val="0"/>
        <w:ind w:firstLine="240" w:firstLineChars="100"/>
        <w:rPr>
          <w:rFonts w:hint="eastAsia" w:ascii="ＭＳ 明朝" w:hAnsi="ＭＳ 明朝" w:eastAsia="ＭＳ 明朝"/>
          <w:strike w:val="0"/>
          <w:sz w:val="24"/>
          <w:u w:val="none" w:color="auto"/>
        </w:rPr>
      </w:pPr>
      <w:r>
        <w:rPr>
          <w:rFonts w:hint="eastAsia" w:ascii="ＭＳ 明朝" w:hAnsi="ＭＳ 明朝" w:eastAsia="ＭＳ 明朝"/>
          <w:strike w:val="0"/>
          <w:sz w:val="24"/>
          <w:u w:val="none" w:color="auto"/>
        </w:rPr>
        <w:t>なお、協議会等への報告の内容については、別途定めるものとする。</w:t>
      </w:r>
    </w:p>
    <w:p>
      <w:pPr>
        <w:pStyle w:val="0"/>
        <w:autoSpaceDE w:val="0"/>
        <w:autoSpaceDN w:val="0"/>
        <w:adjustRightInd w:val="0"/>
        <w:rPr>
          <w:rFonts w:hint="eastAsia" w:ascii="ＭＳ 明朝" w:hAnsi="ＭＳ 明朝" w:eastAsia="ＭＳ 明朝"/>
          <w:strike w:val="0"/>
          <w:sz w:val="24"/>
          <w:u w:val="none" w:color="auto"/>
        </w:rPr>
      </w:pPr>
    </w:p>
    <w:p>
      <w:pPr>
        <w:pStyle w:val="0"/>
        <w:autoSpaceDE w:val="0"/>
        <w:autoSpaceDN w:val="0"/>
        <w:adjustRightInd w:val="0"/>
        <w:rPr>
          <w:rFonts w:hint="eastAsia" w:ascii="ＭＳ 明朝" w:hAnsi="ＭＳ 明朝" w:eastAsia="ＭＳ 明朝"/>
          <w:strike w:val="0"/>
          <w:sz w:val="24"/>
          <w:u w:val="none" w:color="auto"/>
        </w:rPr>
      </w:pPr>
      <w:r>
        <w:rPr>
          <w:rFonts w:hint="eastAsia" w:ascii="ＭＳ 明朝" w:hAnsi="ＭＳ 明朝" w:eastAsia="ＭＳ 明朝"/>
          <w:strike w:val="0"/>
          <w:sz w:val="24"/>
          <w:u w:val="none" w:color="auto"/>
        </w:rPr>
        <w:t>（３）手続</w:t>
      </w:r>
    </w:p>
    <w:p>
      <w:pPr>
        <w:pStyle w:val="0"/>
        <w:autoSpaceDE w:val="0"/>
        <w:autoSpaceDN w:val="0"/>
        <w:adjustRightInd w:val="0"/>
        <w:ind w:firstLine="240" w:firstLineChars="100"/>
        <w:rPr>
          <w:rFonts w:hint="eastAsia" w:ascii="BIZ UDPゴシック" w:hAnsi="BIZ UDPゴシック" w:eastAsia="BIZ UDPゴシック"/>
          <w:sz w:val="24"/>
        </w:rPr>
      </w:pPr>
      <w:r>
        <w:rPr>
          <w:rFonts w:hint="eastAsia" w:ascii="ＭＳ 明朝" w:hAnsi="ＭＳ 明朝" w:eastAsia="ＭＳ 明朝"/>
          <w:strike w:val="0"/>
          <w:sz w:val="24"/>
          <w:u w:val="none" w:color="auto"/>
        </w:rPr>
        <w:t>当該加算の対象となる会議を行った場合は、別途定める内容を記録するものとする。なお、作成した記録は５年間保存するとともに、市町村長等から求めがあった場合については、提出しなければならない。</w:t>
      </w:r>
    </w:p>
    <w:sectPr>
      <w:pgSz w:w="11906" w:h="16838"/>
      <w:pgMar w:top="1417" w:right="1417" w:bottom="1417" w:left="1417" w:header="851" w:footer="992" w:gutter="0"/>
      <w:pgBorders w:zOrder="front" w:display="allPages" w:offsetFrom="page"/>
      <w:cols w:space="720"/>
      <w:textDirection w:val="lrTb"/>
      <w:docGrid w:linePitch="39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BIZ UDPゴシック">
    <w:panose1 w:val="00000000000000000000"/>
    <w:charset w:val="80"/>
    <w:family w:val="moder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BIZ UDゴシック">
    <w:panose1 w:val="00000000000000000000"/>
    <w:charset w:val="80"/>
    <w:family w:val="modern"/>
    <w:notTrueType/>
    <w:pitch w:val="fixed"/>
    <w:sig w:usb0="00000000" w:usb1="00000000" w:usb2="00000000" w:usb3="00000000" w:csb0="01008200" w:csb1="00000000"/>
  </w:font>
  <w:font w:name="AR P丸ゴシック体E">
    <w:panose1 w:val="00000000000000000000"/>
    <w:charset w:val="80"/>
    <w:family w:val="modern"/>
    <w:notTrueType/>
    <w:pitch w:val="variable"/>
    <w:sig w:usb0="00000000" w:usb1="00000000" w:usb2="00000000" w:usb3="00000000" w:csb0="01008200" w:csb1="00000000"/>
  </w:font>
  <w:font w:name="BIZ UDPゴシック">
    <w:panose1 w:val="00000800000000000000"/>
    <w:charset w:val="80"/>
    <w:family w:val="moder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15D0FA8C"/>
    <w:lvl w:ilvl="0" w:tplc="EE6D13BE">
      <w:numFmt w:val="bullet"/>
      <w:lvlText w:val=""/>
      <w:lvlJc w:val="left"/>
      <w:pPr>
        <w:ind w:left="660" w:hanging="420"/>
      </w:pPr>
      <w:rPr>
        <w:rFonts w:hint="default" w:ascii="Wingdings" w:hAnsi="Wingdings"/>
      </w:rPr>
    </w:lvl>
    <w:lvl w:ilvl="1" w:tplc="0409000B">
      <w:numFmt w:val="bullet"/>
      <w:lvlText w:val=""/>
      <w:lvlJc w:val="left"/>
      <w:pPr>
        <w:ind w:left="1080" w:hanging="420"/>
      </w:pPr>
      <w:rPr>
        <w:rFonts w:hint="default" w:ascii="Wingdings" w:hAnsi="Wingdings"/>
      </w:rPr>
    </w:lvl>
    <w:lvl w:ilvl="2" w:tplc="0409000D">
      <w:numFmt w:val="bullet"/>
      <w:lvlText w:val=""/>
      <w:lvlJc w:val="left"/>
      <w:pPr>
        <w:ind w:left="1500" w:hanging="420"/>
      </w:pPr>
      <w:rPr>
        <w:rFonts w:hint="default" w:ascii="Wingdings" w:hAnsi="Wingdings"/>
      </w:rPr>
    </w:lvl>
    <w:lvl w:ilvl="3" w:tplc="04090001">
      <w:numFmt w:val="bullet"/>
      <w:lvlText w:val=""/>
      <w:lvlJc w:val="left"/>
      <w:pPr>
        <w:ind w:left="1920" w:hanging="420"/>
      </w:pPr>
      <w:rPr>
        <w:rFonts w:hint="default" w:ascii="Wingdings" w:hAnsi="Wingdings"/>
      </w:rPr>
    </w:lvl>
    <w:lvl w:ilvl="4" w:tplc="0409000B">
      <w:numFmt w:val="bullet"/>
      <w:lvlText w:val=""/>
      <w:lvlJc w:val="left"/>
      <w:pPr>
        <w:ind w:left="2340" w:hanging="420"/>
      </w:pPr>
      <w:rPr>
        <w:rFonts w:hint="default" w:ascii="Wingdings" w:hAnsi="Wingdings"/>
      </w:rPr>
    </w:lvl>
    <w:lvl w:ilvl="5" w:tplc="0409000D">
      <w:numFmt w:val="bullet"/>
      <w:lvlText w:val=""/>
      <w:lvlJc w:val="left"/>
      <w:pPr>
        <w:ind w:left="2760" w:hanging="420"/>
      </w:pPr>
      <w:rPr>
        <w:rFonts w:hint="default" w:ascii="Wingdings" w:hAnsi="Wingdings"/>
      </w:rPr>
    </w:lvl>
    <w:lvl w:ilvl="6" w:tplc="04090001">
      <w:numFmt w:val="bullet"/>
      <w:lvlText w:val=""/>
      <w:lvlJc w:val="left"/>
      <w:pPr>
        <w:ind w:left="3180" w:hanging="420"/>
      </w:pPr>
      <w:rPr>
        <w:rFonts w:hint="default" w:ascii="Wingdings" w:hAnsi="Wingdings"/>
      </w:rPr>
    </w:lvl>
    <w:lvl w:ilvl="7" w:tplc="0409000B">
      <w:numFmt w:val="bullet"/>
      <w:lvlText w:val=""/>
      <w:lvlJc w:val="left"/>
      <w:pPr>
        <w:ind w:left="3600" w:hanging="420"/>
      </w:pPr>
      <w:rPr>
        <w:rFonts w:hint="default" w:ascii="Wingdings" w:hAnsi="Wingdings"/>
      </w:rPr>
    </w:lvl>
    <w:lvl w:ilvl="8" w:tplc="0409000D">
      <w:numFmt w:val="bullet"/>
      <w:lvlText w:val=""/>
      <w:lvlJc w:val="left"/>
      <w:pPr>
        <w:ind w:left="402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75"/>
  <w:bordersDoNotSurroundHeader/>
  <w:bordersDoNotSurroundFooter/>
  <w:defaultTabStop w:val="840"/>
  <w:hyphenationZone w:val="0"/>
  <w:drawingGridHorizontalSpacing w:val="240"/>
  <w:drawingGridVerticalSpacing w:val="12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caps w:val="0"/>
        <w:smallCaps w:val="0"/>
        <w:strike w:val="0"/>
        <w:dstrike w:val="0"/>
        <w:outline w:val="0"/>
        <w:shadow w:val="0"/>
        <w:emboss w:val="0"/>
        <w:imprint w:val="0"/>
        <w:snapToGrid w:val="1"/>
        <w:vanish w:val="0"/>
        <w:color w:val="auto"/>
        <w:spacing w:val="0"/>
        <w:w w:val="100"/>
        <w:kern w:val="2"/>
        <w:position w:val="0"/>
        <w:sz w:val="24"/>
        <w:u w:val="none" w:color="auto"/>
        <w:vertAlign w:val="baseline"/>
        <w:em w:val="none"/>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List Paragraph"/>
    <w:basedOn w:val="0"/>
    <w:next w:val="17"/>
    <w:link w:val="0"/>
    <w:uiPriority w:val="0"/>
    <w:qFormat/>
    <w:pPr>
      <w:ind w:left="400" w:leftChars="400"/>
    </w:p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36</TotalTime>
  <Pages>3</Pages>
  <Words>8</Words>
  <Characters>2422</Characters>
  <Application>JUST Note</Application>
  <Lines>101</Lines>
  <Paragraphs>43</Paragraphs>
  <Company>伊勢市</Company>
  <CharactersWithSpaces>2428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奥野 修司</dc:creator>
  <cp:lastModifiedBy>奥野 修司</cp:lastModifiedBy>
  <dcterms:created xsi:type="dcterms:W3CDTF">2024-04-09T00:25:00Z</dcterms:created>
  <dcterms:modified xsi:type="dcterms:W3CDTF">2024-04-12T06:49:02Z</dcterms:modified>
  <cp:revision>1</cp:revision>
</cp:coreProperties>
</file>