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w:t>
      </w:r>
    </w:p>
    <w:p>
      <w:pPr>
        <w:pStyle w:val="0"/>
        <w:rPr>
          <w:rFonts w:hint="eastAsia"/>
        </w:rPr>
      </w:pPr>
    </w:p>
    <w:p>
      <w:pPr>
        <w:pStyle w:val="0"/>
        <w:jc w:val="center"/>
        <w:rPr>
          <w:rFonts w:hint="eastAsia"/>
        </w:rPr>
      </w:pPr>
      <w:r>
        <w:rPr>
          <w:rFonts w:hint="eastAsia"/>
          <w:b w:val="1"/>
          <w:sz w:val="28"/>
        </w:rPr>
        <w:t>参加資格要件確認表</w:t>
      </w:r>
    </w:p>
    <w:p>
      <w:pPr>
        <w:pStyle w:val="0"/>
        <w:rPr>
          <w:rFonts w:hint="eastAsia"/>
        </w:rPr>
      </w:pPr>
    </w:p>
    <w:p>
      <w:pPr>
        <w:pStyle w:val="0"/>
        <w:rPr>
          <w:rFonts w:hint="eastAsia"/>
        </w:rPr>
      </w:pPr>
    </w:p>
    <w:p>
      <w:pPr>
        <w:pStyle w:val="0"/>
        <w:rPr>
          <w:rFonts w:hint="eastAsia"/>
        </w:rPr>
      </w:pPr>
    </w:p>
    <w:p>
      <w:pPr>
        <w:pStyle w:val="0"/>
        <w:wordWrap w:val="0"/>
        <w:ind w:right="240" w:rightChars="100"/>
        <w:jc w:val="right"/>
        <w:rPr>
          <w:rFonts w:hint="eastAsia"/>
        </w:rPr>
      </w:pPr>
      <w:r>
        <w:rPr>
          <w:rFonts w:hint="eastAsia"/>
          <w:u w:val="single"/>
        </w:rPr>
        <w:t>事業者名　　　　　　　　　　</w:t>
      </w:r>
    </w:p>
    <w:p>
      <w:pPr>
        <w:pStyle w:val="0"/>
        <w:rPr>
          <w:rFonts w:hint="eastAsia"/>
        </w:rPr>
      </w:pPr>
    </w:p>
    <w:p>
      <w:pPr>
        <w:pStyle w:val="0"/>
        <w:rPr>
          <w:rFonts w:hint="eastAsia"/>
        </w:rPr>
      </w:pPr>
    </w:p>
    <w:p>
      <w:pPr>
        <w:pStyle w:val="0"/>
        <w:rPr>
          <w:rFonts w:hint="eastAsia"/>
        </w:rPr>
      </w:pPr>
    </w:p>
    <w:tbl>
      <w:tblPr>
        <w:tblStyle w:val="15"/>
        <w:tblW w:w="8504" w:type="auto"/>
        <w:tblInd w:w="0" w:type="dxa"/>
        <w:tblLayout w:type="fixed"/>
        <w:tblLook w:firstRow="1" w:lastRow="0" w:firstColumn="1" w:lastColumn="0" w:noHBand="0" w:noVBand="1" w:val="04A0"/>
      </w:tblPr>
      <w:tblGrid>
        <w:gridCol w:w="5245"/>
        <w:gridCol w:w="3259"/>
      </w:tblGrid>
      <w:tr>
        <w:trPr>
          <w:trHeight w:val="1140" w:hRule="atLeast"/>
        </w:trPr>
        <w:tc>
          <w:tcPr>
            <w:tcW w:w="5245" w:type="dxa"/>
            <w:vAlign w:val="center"/>
          </w:tcPr>
          <w:p>
            <w:pPr>
              <w:pStyle w:val="0"/>
              <w:jc w:val="both"/>
              <w:rPr>
                <w:rFonts w:hint="eastAsia"/>
              </w:rPr>
            </w:pPr>
            <w:r>
              <w:rPr>
                <w:rFonts w:hint="eastAsia"/>
              </w:rPr>
              <w:t>（１）地方自治法施行令</w:t>
            </w:r>
            <w:r>
              <w:rPr>
                <w:rFonts w:hint="eastAsia" w:ascii="ＭＳ 明朝" w:hAnsi="ＭＳ 明朝" w:eastAsia="ＭＳ 明朝"/>
                <w:color w:val="auto"/>
                <w:sz w:val="24"/>
                <w:highlight w:val="none"/>
              </w:rPr>
              <w:t>（昭和</w:t>
            </w:r>
            <w:r>
              <w:rPr>
                <w:rFonts w:hint="eastAsia" w:ascii="ＭＳ 明朝" w:hAnsi="ＭＳ 明朝" w:eastAsia="ＭＳ 明朝"/>
                <w:color w:val="auto"/>
                <w:sz w:val="24"/>
                <w:highlight w:val="none"/>
              </w:rPr>
              <w:t>22</w:t>
            </w:r>
            <w:r>
              <w:rPr>
                <w:rFonts w:hint="eastAsia" w:ascii="ＭＳ 明朝" w:hAnsi="ＭＳ 明朝" w:eastAsia="ＭＳ 明朝"/>
                <w:color w:val="auto"/>
                <w:sz w:val="24"/>
                <w:highlight w:val="none"/>
              </w:rPr>
              <w:t>年政令第</w:t>
            </w:r>
            <w:r>
              <w:rPr>
                <w:rFonts w:hint="eastAsia" w:ascii="ＭＳ 明朝" w:hAnsi="ＭＳ 明朝" w:eastAsia="ＭＳ 明朝"/>
                <w:color w:val="auto"/>
                <w:sz w:val="24"/>
                <w:highlight w:val="none"/>
              </w:rPr>
              <w:t>16</w:t>
            </w:r>
            <w:r>
              <w:rPr>
                <w:rFonts w:hint="eastAsia" w:ascii="ＭＳ 明朝" w:hAnsi="ＭＳ 明朝" w:eastAsia="ＭＳ 明朝"/>
                <w:color w:val="auto"/>
                <w:sz w:val="24"/>
                <w:highlight w:val="none"/>
              </w:rPr>
              <w:t>号）</w:t>
            </w:r>
            <w:r>
              <w:rPr>
                <w:rFonts w:hint="eastAsia"/>
              </w:rPr>
              <w:t>第</w:t>
            </w:r>
            <w:r>
              <w:rPr>
                <w:rFonts w:hint="eastAsia"/>
              </w:rPr>
              <w:t>167</w:t>
            </w:r>
            <w:r>
              <w:rPr>
                <w:rFonts w:hint="eastAsia"/>
              </w:rPr>
              <w:t>条の４に該当しない者</w:t>
            </w:r>
          </w:p>
        </w:tc>
        <w:tc>
          <w:tcPr>
            <w:tcW w:w="3259" w:type="dxa"/>
            <w:vAlign w:val="center"/>
          </w:tcPr>
          <w:p>
            <w:pPr>
              <w:pStyle w:val="0"/>
              <w:jc w:val="center"/>
              <w:rPr>
                <w:rFonts w:hint="eastAsia"/>
              </w:rPr>
            </w:pPr>
            <w:r>
              <w:rPr>
                <w:rFonts w:hint="eastAsia"/>
              </w:rPr>
              <w:t>該当する・該当しない</w:t>
            </w:r>
          </w:p>
        </w:tc>
      </w:tr>
      <w:tr>
        <w:trPr>
          <w:trHeight w:val="1610" w:hRule="atLeast"/>
        </w:trPr>
        <w:tc>
          <w:tcPr>
            <w:tcW w:w="5245" w:type="dxa"/>
            <w:vAlign w:val="center"/>
          </w:tcPr>
          <w:p>
            <w:pPr>
              <w:pStyle w:val="0"/>
              <w:jc w:val="both"/>
              <w:rPr>
                <w:rFonts w:hint="eastAsia"/>
              </w:rPr>
            </w:pPr>
            <w:r>
              <w:rPr>
                <w:rFonts w:hint="eastAsia"/>
              </w:rPr>
              <w:t>（２）</w:t>
            </w:r>
            <w:r>
              <w:rPr>
                <w:rFonts w:hint="eastAsia" w:ascii="ＭＳ 明朝" w:hAnsi="ＭＳ 明朝" w:eastAsia="ＭＳ 明朝"/>
                <w:color w:val="auto"/>
                <w:sz w:val="24"/>
                <w:highlight w:val="none"/>
              </w:rPr>
              <w:t>伊勢市建設工事等資格（指名）停止措置要領（平成</w:t>
            </w:r>
            <w:r>
              <w:rPr>
                <w:rFonts w:hint="eastAsia" w:ascii="ＭＳ 明朝" w:hAnsi="ＭＳ 明朝" w:eastAsia="ＭＳ 明朝"/>
                <w:color w:val="auto"/>
                <w:sz w:val="24"/>
                <w:highlight w:val="none"/>
              </w:rPr>
              <w:t>17</w:t>
            </w:r>
            <w:r>
              <w:rPr>
                <w:rFonts w:hint="eastAsia" w:ascii="ＭＳ 明朝" w:hAnsi="ＭＳ 明朝" w:eastAsia="ＭＳ 明朝"/>
                <w:color w:val="auto"/>
                <w:sz w:val="24"/>
                <w:highlight w:val="none"/>
              </w:rPr>
              <w:t>年伊勢市訓令第</w:t>
            </w:r>
            <w:r>
              <w:rPr>
                <w:rFonts w:hint="eastAsia" w:ascii="ＭＳ 明朝" w:hAnsi="ＭＳ 明朝" w:eastAsia="ＭＳ 明朝"/>
                <w:color w:val="auto"/>
                <w:sz w:val="24"/>
                <w:highlight w:val="none"/>
              </w:rPr>
              <w:t>20</w:t>
            </w:r>
            <w:r>
              <w:rPr>
                <w:rFonts w:hint="eastAsia" w:ascii="ＭＳ 明朝" w:hAnsi="ＭＳ 明朝" w:eastAsia="ＭＳ 明朝"/>
                <w:color w:val="auto"/>
                <w:sz w:val="24"/>
                <w:highlight w:val="none"/>
              </w:rPr>
              <w:t>号）の規定による資格（指名）停止措置を受けていない者</w:t>
            </w:r>
          </w:p>
        </w:tc>
        <w:tc>
          <w:tcPr>
            <w:tcW w:w="3259" w:type="dxa"/>
            <w:vAlign w:val="center"/>
          </w:tcPr>
          <w:p>
            <w:pPr>
              <w:pStyle w:val="0"/>
              <w:jc w:val="center"/>
              <w:rPr>
                <w:rFonts w:hint="eastAsia"/>
              </w:rPr>
            </w:pPr>
            <w:r>
              <w:rPr>
                <w:rFonts w:hint="eastAsia"/>
              </w:rPr>
              <w:t>該当する・該当しない</w:t>
            </w:r>
          </w:p>
        </w:tc>
      </w:tr>
      <w:tr>
        <w:trPr>
          <w:trHeight w:val="2680" w:hRule="atLeast"/>
        </w:trPr>
        <w:tc>
          <w:tcPr>
            <w:tcW w:w="5245" w:type="dxa"/>
            <w:vAlign w:val="center"/>
          </w:tcPr>
          <w:p>
            <w:pPr>
              <w:pStyle w:val="0"/>
              <w:jc w:val="both"/>
              <w:rPr>
                <w:rFonts w:hint="eastAsia"/>
              </w:rPr>
            </w:pPr>
            <w:r>
              <w:rPr>
                <w:rFonts w:hint="eastAsia"/>
              </w:rPr>
              <w:t>（３）会社更生法（平成</w:t>
            </w:r>
            <w:r>
              <w:rPr>
                <w:rFonts w:hint="eastAsia"/>
              </w:rPr>
              <w:t>14</w:t>
            </w:r>
            <w:r>
              <w:rPr>
                <w:rFonts w:hint="eastAsia"/>
              </w:rPr>
              <w:t>年法律第</w:t>
            </w:r>
            <w:r>
              <w:rPr>
                <w:rFonts w:hint="eastAsia"/>
              </w:rPr>
              <w:t>154</w:t>
            </w:r>
            <w:r>
              <w:rPr>
                <w:rFonts w:hint="eastAsia"/>
              </w:rPr>
              <w:t>号）に基づく会社更生手続開始若しくは更生手続開始の申立がなされていない者、又は、民事再生法（平成</w:t>
            </w:r>
            <w:r>
              <w:rPr>
                <w:rFonts w:hint="eastAsia"/>
              </w:rPr>
              <w:t>11</w:t>
            </w:r>
            <w:r>
              <w:rPr>
                <w:rFonts w:hint="eastAsia"/>
              </w:rPr>
              <w:t>年法律第</w:t>
            </w:r>
            <w:r>
              <w:rPr>
                <w:rFonts w:hint="eastAsia"/>
              </w:rPr>
              <w:t>225</w:t>
            </w:r>
            <w:r>
              <w:rPr>
                <w:rFonts w:hint="eastAsia"/>
              </w:rPr>
              <w:t>号）に基づく再生手続き開始若しくは再生手続開始の申立がなされていない者</w:t>
            </w:r>
            <w:bookmarkStart w:id="0" w:name="_GoBack"/>
            <w:bookmarkEnd w:id="0"/>
          </w:p>
        </w:tc>
        <w:tc>
          <w:tcPr>
            <w:tcW w:w="3259" w:type="dxa"/>
            <w:vAlign w:val="center"/>
          </w:tcPr>
          <w:p>
            <w:pPr>
              <w:pStyle w:val="0"/>
              <w:jc w:val="center"/>
              <w:rPr>
                <w:rFonts w:hint="eastAsia"/>
              </w:rPr>
            </w:pPr>
            <w:r>
              <w:rPr>
                <w:rFonts w:hint="eastAsia"/>
              </w:rPr>
              <w:t>該当する・該当しない</w:t>
            </w:r>
          </w:p>
        </w:tc>
      </w:tr>
    </w:tbl>
    <w:p>
      <w:pPr>
        <w:pStyle w:val="0"/>
        <w:rPr>
          <w:rFonts w:hint="eastAsia"/>
        </w:rPr>
      </w:pPr>
    </w:p>
    <w:p>
      <w:pPr>
        <w:pStyle w:val="0"/>
        <w:rPr>
          <w:rFonts w:hint="eastAsia"/>
        </w:rPr>
      </w:pPr>
    </w:p>
    <w:p>
      <w:pPr>
        <w:pStyle w:val="0"/>
        <w:ind w:leftChars="0" w:firstLine="0" w:firstLineChars="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0</Characters>
  <Application>JUST Note</Application>
  <Lines>0</Lines>
  <Paragraphs>0</Paragraphs>
  <Company>伊勢市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池村 佳晃</dc:creator>
  <cp:lastModifiedBy>池村 佳晃</cp:lastModifiedBy>
  <dcterms:created xsi:type="dcterms:W3CDTF">2023-04-04T04:27:00Z</dcterms:created>
  <dcterms:modified xsi:type="dcterms:W3CDTF">2023-04-04T04:34:06Z</dcterms:modified>
  <cp:revision>0</cp:revision>
</cp:coreProperties>
</file>