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（自</w:t>
      </w:r>
      <w:r>
        <w:rPr>
          <w:rFonts w:hint="eastAsia" w:asciiTheme="minorEastAsia" w:hAnsiTheme="minorEastAsia"/>
          <w:sz w:val="28"/>
        </w:rPr>
        <w:t xml:space="preserve"> </w:t>
      </w:r>
      <w:r>
        <w:rPr>
          <w:rFonts w:hint="eastAsia" w:asciiTheme="minorEastAsia" w:hAnsiTheme="minorEastAsia"/>
          <w:sz w:val="28"/>
        </w:rPr>
        <w:t>動</w:t>
      </w:r>
      <w:r>
        <w:rPr>
          <w:rFonts w:hint="eastAsia" w:asciiTheme="minorEastAsia" w:hAnsiTheme="minorEastAsia"/>
          <w:sz w:val="28"/>
        </w:rPr>
        <w:t xml:space="preserve"> </w:t>
      </w:r>
      <w:r>
        <w:rPr>
          <w:rFonts w:hint="eastAsia" w:asciiTheme="minorEastAsia" w:hAnsiTheme="minorEastAsia"/>
          <w:sz w:val="28"/>
        </w:rPr>
        <w:t>車）</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次のとおり選挙運動用自動車を使用し</w:t>
      </w:r>
      <w:bookmarkStart w:id="0" w:name="_GoBack"/>
      <w:bookmarkEnd w:id="0"/>
      <w:r>
        <w:rPr>
          <w:rFonts w:hint="eastAsia" w:asciiTheme="minorEastAsia" w:hAnsiTheme="minorEastAsia"/>
          <w:sz w:val="22"/>
        </w:rPr>
        <w:t>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ind w:left="0" w:leftChars="0" w:firstLine="4597" w:firstLineChars="2300"/>
        <w:jc w:val="lef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r>
        <w:rPr>
          <w:rFonts w:hint="eastAsia"/>
        </w:rPr>
        <mc:AlternateContent>
          <mc:Choice Requires="wps">
            <w:drawing>
              <wp:anchor simplePos="0" relativeHeight="4" behindDoc="0" locked="0" layoutInCell="1" hidden="0" allowOverlap="1">
                <wp:simplePos x="0" y="0"/>
                <wp:positionH relativeFrom="column">
                  <wp:posOffset>3820795</wp:posOffset>
                </wp:positionH>
                <wp:positionV relativeFrom="paragraph">
                  <wp:posOffset>116205</wp:posOffset>
                </wp:positionV>
                <wp:extent cx="314325" cy="3143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14325" cy="314325"/>
                        </a:xfrm>
                        <a:prstGeom prst="ellipse">
                          <a:avLst/>
                        </a:prstGeom>
                        <a:noFill/>
                        <a:ln w="19050">
                          <a:solidFill>
                            <a:sysClr val="windowText" lastClr="000000"/>
                          </a:solidFill>
                        </a:ln>
                      </wps:spPr>
                      <wps:bodyPr/>
                    </wps:wsp>
                  </a:graphicData>
                </a:graphic>
              </wp:anchor>
            </w:drawing>
          </mc:Choice>
          <mc:Fallback>
            <w:pict>
              <v:oval id="オブジェクト 0" style="margin-top:9.15pt;mso-position-vertical-relative:text;mso-position-horizontal-relative:text;position:absolute;height:24.75pt;width:24.75pt;margin-left:300.85000000000002pt;z-index:4;" o:spid="_x0000_s1027" o:allowincell="t" o:allowoverlap="t" filled="f" stroked="t" strokecolor="#000000" strokeweight="1.5pt" o:spt="3">
                <v:fill/>
                <v:stroke filltype="solid"/>
                <v:textbox style="layout-flow:horizontal;"/>
                <v:imagedata o:title=""/>
                <w10:wrap type="none" anchorx="text" anchory="text"/>
              </v:oval>
            </w:pict>
          </mc:Fallback>
        </mc:AlternateContent>
      </w: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552"/>
        <w:gridCol w:w="2495"/>
        <w:gridCol w:w="936"/>
        <w:gridCol w:w="1304"/>
        <w:gridCol w:w="1871"/>
      </w:tblGrid>
      <w:tr>
        <w:trPr>
          <w:trHeight w:val="737" w:hRule="exact"/>
        </w:trPr>
        <w:tc>
          <w:tcPr>
            <w:tcW w:w="2552" w:type="dxa"/>
            <w:vAlign w:val="center"/>
          </w:tcPr>
          <w:p>
            <w:pPr>
              <w:pStyle w:val="0"/>
              <w:autoSpaceDE w:val="0"/>
              <w:autoSpaceDN w:val="0"/>
              <w:adjustRightInd w:val="0"/>
              <w:spacing w:line="230" w:lineRule="exact"/>
              <w:jc w:val="distribute"/>
              <w:rPr>
                <w:rFonts w:hint="default" w:ascii="ＭＳ 明朝" w:hAnsi="ＭＳ 明朝"/>
                <w:kern w:val="0"/>
                <w:sz w:val="22"/>
              </w:rPr>
            </w:pPr>
            <w:r>
              <w:rPr>
                <w:rFonts w:hint="eastAsia" w:ascii="ＭＳ 明朝" w:hAnsi="ＭＳ 明朝"/>
                <w:kern w:val="0"/>
                <w:sz w:val="22"/>
              </w:rPr>
              <w:t>運送等契約区分</w:t>
            </w:r>
          </w:p>
          <w:p>
            <w:pPr>
              <w:pStyle w:val="0"/>
              <w:autoSpaceDE w:val="0"/>
              <w:autoSpaceDN w:val="0"/>
              <w:adjustRightInd w:val="0"/>
              <w:spacing w:line="230" w:lineRule="exact"/>
              <w:jc w:val="center"/>
              <w:rPr>
                <w:rFonts w:hint="default" w:ascii="ＭＳ 明朝" w:hAnsi="ＭＳ 明朝"/>
                <w:kern w:val="0"/>
                <w:sz w:val="22"/>
              </w:rPr>
            </w:pPr>
            <w:r>
              <w:rPr>
                <w:rFonts w:hint="default" w:ascii="ＭＳ 明朝" w:hAnsi="ＭＳ 明朝"/>
                <w:kern w:val="0"/>
                <w:sz w:val="22"/>
              </w:rPr>
              <mc:AlternateContent>
                <mc:Choice Requires="wps">
                  <w:drawing>
                    <wp:anchor simplePos="0" relativeHeight="3" behindDoc="0" locked="0" layoutInCell="1" hidden="0" allowOverlap="1">
                      <wp:simplePos x="0" y="0"/>
                      <wp:positionH relativeFrom="column">
                        <wp:posOffset>1270</wp:posOffset>
                      </wp:positionH>
                      <wp:positionV relativeFrom="paragraph">
                        <wp:posOffset>53975</wp:posOffset>
                      </wp:positionV>
                      <wp:extent cx="1451610" cy="1670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51610" cy="167005"/>
                              </a:xfrm>
                              <a:prstGeom prst="bracketPair">
                                <a:avLst>
                                  <a:gd name="adj" fmla="val 1666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25pt;mso-position-vertical-relative:text;mso-position-horizontal-relative:text;position:absolute;height:13.15pt;width:114.3pt;margin-left:0.1pt;z-index:3;" o:spid="_x0000_s1028" o:allowincell="t" o:allowoverlap="t"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ＭＳ 明朝" w:hAnsi="ＭＳ 明朝"/>
                <w:kern w:val="0"/>
                <w:sz w:val="22"/>
              </w:rPr>
              <w:t>該当する方の番号に</w:t>
            </w:r>
          </w:p>
          <w:p>
            <w:pPr>
              <w:pStyle w:val="0"/>
              <w:autoSpaceDE w:val="0"/>
              <w:autoSpaceDN w:val="0"/>
              <w:adjustRightInd w:val="0"/>
              <w:spacing w:line="230" w:lineRule="exact"/>
              <w:jc w:val="center"/>
              <w:rPr>
                <w:rFonts w:hint="default" w:ascii="ＭＳ 明朝" w:hAnsi="ＭＳ 明朝"/>
                <w:b w:val="1"/>
                <w:kern w:val="0"/>
                <w:sz w:val="22"/>
              </w:rPr>
            </w:pPr>
            <w:r>
              <w:rPr>
                <w:rFonts w:hint="eastAsia" w:ascii="ＭＳ 明朝" w:hAnsi="ＭＳ 明朝"/>
                <w:kern w:val="0"/>
                <w:sz w:val="22"/>
              </w:rPr>
              <w:t>○をしてください。</w:t>
            </w:r>
          </w:p>
        </w:tc>
        <w:tc>
          <w:tcPr>
            <w:tcW w:w="3431" w:type="dxa"/>
            <w:gridSpan w:val="2"/>
            <w:vAlign w:val="center"/>
          </w:tcPr>
          <w:p>
            <w:pPr>
              <w:pStyle w:val="0"/>
              <w:autoSpaceDE w:val="0"/>
              <w:autoSpaceDN w:val="0"/>
              <w:adjustRightInd w:val="0"/>
              <w:spacing w:line="240" w:lineRule="exact"/>
              <w:ind w:left="-60" w:leftChars="-25" w:right="-60" w:rightChars="-25"/>
              <w:rPr>
                <w:rFonts w:hint="default" w:ascii="ＭＳ 明朝" w:hAnsi="ＭＳ 明朝"/>
                <w:kern w:val="0"/>
                <w:sz w:val="22"/>
              </w:rPr>
            </w:pPr>
            <w:r>
              <w:rPr>
                <w:rFonts w:hint="eastAsia" w:ascii="ＭＳ 明朝" w:hAnsi="ＭＳ 明朝"/>
                <w:kern w:val="0"/>
                <w:sz w:val="22"/>
              </w:rPr>
              <w:t>１　一般乗用旅客自動車運送事業</w:t>
            </w:r>
          </w:p>
          <w:p>
            <w:pPr>
              <w:pStyle w:val="0"/>
              <w:autoSpaceDE w:val="0"/>
              <w:autoSpaceDN w:val="0"/>
              <w:adjustRightInd w:val="0"/>
              <w:spacing w:line="240" w:lineRule="exact"/>
              <w:ind w:left="-60" w:leftChars="-25" w:right="-60" w:rightChars="-25" w:firstLine="440" w:firstLineChars="200"/>
              <w:rPr>
                <w:rFonts w:hint="default" w:ascii="ＭＳ 明朝" w:hAnsi="ＭＳ 明朝"/>
                <w:b w:val="1"/>
                <w:kern w:val="0"/>
                <w:sz w:val="22"/>
              </w:rPr>
            </w:pPr>
            <w:r>
              <w:rPr>
                <w:rFonts w:hint="eastAsia" w:ascii="ＭＳ 明朝" w:hAnsi="ＭＳ 明朝"/>
                <w:kern w:val="0"/>
                <w:sz w:val="22"/>
              </w:rPr>
              <w:t>者との運送契約による場合</w:t>
            </w:r>
          </w:p>
        </w:tc>
        <w:tc>
          <w:tcPr>
            <w:tcW w:w="3175" w:type="dxa"/>
            <w:gridSpan w:val="2"/>
            <w:vAlign w:val="center"/>
          </w:tcPr>
          <w:p>
            <w:pPr>
              <w:pStyle w:val="0"/>
              <w:autoSpaceDE w:val="0"/>
              <w:autoSpaceDN w:val="0"/>
              <w:adjustRightInd w:val="0"/>
              <w:spacing w:line="240" w:lineRule="exact"/>
              <w:ind w:left="380" w:leftChars="-25" w:right="-60" w:rightChars="-25" w:hanging="440" w:hangingChars="200"/>
              <w:rPr>
                <w:rFonts w:hint="default" w:ascii="ＭＳ 明朝" w:hAnsi="ＭＳ 明朝"/>
                <w:b w:val="1"/>
                <w:kern w:val="0"/>
                <w:sz w:val="22"/>
              </w:rPr>
            </w:pPr>
            <w:r>
              <w:rPr>
                <w:rFonts w:hint="eastAsia" w:ascii="ＭＳ 明朝" w:hAnsi="ＭＳ 明朝"/>
                <w:kern w:val="0"/>
                <w:sz w:val="22"/>
              </w:rPr>
              <w:t>２　左に掲げる契約以外の契約による場合</w:t>
            </w:r>
          </w:p>
        </w:tc>
      </w:tr>
      <w:tr>
        <w:trPr>
          <w:trHeight w:val="737" w:hRule="exact"/>
        </w:trPr>
        <w:tc>
          <w:tcPr>
            <w:tcW w:w="2552" w:type="dxa"/>
            <w:vAlign w:val="center"/>
          </w:tcPr>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運送事業者等の氏名又は</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名称及び住所並びに法人に</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あってはその代表者の氏名</w:t>
            </w:r>
          </w:p>
          <w:p>
            <w:pPr>
              <w:pStyle w:val="0"/>
              <w:autoSpaceDE w:val="0"/>
              <w:autoSpaceDN w:val="0"/>
              <w:adjustRightInd w:val="0"/>
              <w:spacing w:line="230" w:lineRule="exact"/>
              <w:rPr>
                <w:rFonts w:hint="default" w:ascii="ＭＳ 明朝" w:hAnsi="ＭＳ 明朝"/>
                <w:b w:val="1"/>
                <w:kern w:val="0"/>
                <w:sz w:val="20"/>
              </w:rPr>
            </w:pPr>
          </w:p>
        </w:tc>
        <w:tc>
          <w:tcPr>
            <w:tcW w:w="6606" w:type="dxa"/>
            <w:gridSpan w:val="4"/>
            <w:vAlign w:val="center"/>
          </w:tcPr>
          <w:p>
            <w:pPr>
              <w:pStyle w:val="0"/>
              <w:autoSpaceDN w:val="0"/>
              <w:spacing w:line="0" w:lineRule="atLeast"/>
              <w:jc w:val="both"/>
              <w:rPr>
                <w:rFonts w:hint="eastAsia" w:ascii="HG正楷書体-PRO" w:hAnsi="HG正楷書体-PRO" w:eastAsia="HG正楷書体-PRO"/>
                <w:b w:val="1"/>
                <w:sz w:val="22"/>
              </w:rPr>
            </w:pPr>
          </w:p>
          <w:p>
            <w:pPr>
              <w:pStyle w:val="0"/>
              <w:autoSpaceDN w:val="0"/>
              <w:spacing w:line="0" w:lineRule="atLeast"/>
              <w:jc w:val="both"/>
              <w:rPr>
                <w:rFonts w:hint="default" w:ascii="ＭＳ 明朝" w:hAnsi="ＭＳ 明朝"/>
                <w:b w:val="1"/>
                <w:kern w:val="0"/>
                <w:sz w:val="22"/>
              </w:rPr>
            </w:pPr>
          </w:p>
        </w:tc>
      </w:tr>
      <w:tr>
        <w:trPr>
          <w:trHeight w:val="369" w:hRule="exact"/>
        </w:trPr>
        <w:tc>
          <w:tcPr>
            <w:tcW w:w="2552" w:type="dxa"/>
            <w:vAlign w:val="center"/>
          </w:tcPr>
          <w:p>
            <w:pPr>
              <w:pStyle w:val="0"/>
              <w:autoSpaceDE w:val="0"/>
              <w:autoSpaceDN w:val="0"/>
              <w:adjustRightInd w:val="0"/>
              <w:spacing w:line="240" w:lineRule="exact"/>
              <w:ind w:left="-120" w:leftChars="-50" w:right="-120" w:rightChars="-50"/>
              <w:jc w:val="center"/>
              <w:rPr>
                <w:rFonts w:hint="default" w:ascii="ＭＳ 明朝" w:hAnsi="ＭＳ 明朝"/>
                <w:b w:val="1"/>
                <w:kern w:val="0"/>
                <w:sz w:val="21"/>
              </w:rPr>
            </w:pPr>
            <w:r>
              <w:rPr>
                <w:rFonts w:hint="eastAsia" w:ascii="ＭＳ 明朝" w:hAnsi="ＭＳ 明朝"/>
                <w:kern w:val="0"/>
                <w:sz w:val="21"/>
              </w:rPr>
              <w:t>車種及び自動車登録番号</w:t>
            </w: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年</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日</w:t>
            </w:r>
          </w:p>
        </w:tc>
        <w:tc>
          <w:tcPr>
            <w:tcW w:w="2240"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金</w:t>
            </w:r>
            <w:r>
              <w:rPr>
                <w:rFonts w:hint="eastAsia" w:ascii="ＭＳ 明朝" w:hAnsi="ＭＳ 明朝"/>
                <w:kern w:val="0"/>
                <w:sz w:val="22"/>
              </w:rPr>
              <w:t xml:space="preserve"> </w:t>
            </w:r>
            <w:r>
              <w:rPr>
                <w:rFonts w:hint="eastAsia" w:ascii="ＭＳ 明朝" w:hAnsi="ＭＳ 明朝"/>
                <w:kern w:val="0"/>
                <w:sz w:val="22"/>
              </w:rPr>
              <w:t>額</w:t>
            </w:r>
          </w:p>
        </w:tc>
        <w:tc>
          <w:tcPr>
            <w:tcW w:w="187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備　　　考</w:t>
            </w:r>
          </w:p>
        </w:tc>
      </w:tr>
      <w:tr>
        <w:trPr>
          <w:trHeight w:val="397" w:hRule="atLeas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16"/>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right"/>
              <w:rPr>
                <w:rFonts w:hint="default" w:ascii="ＭＳ 明朝" w:hAnsi="ＭＳ 明朝"/>
                <w:kern w:val="0"/>
                <w:sz w:val="20"/>
              </w:rPr>
            </w:pPr>
            <w:r>
              <w:rPr>
                <w:rFonts w:hint="eastAsia" w:ascii="ＭＳ 明朝" w:hAnsi="ＭＳ 明朝"/>
                <w:kern w:val="0"/>
                <w:sz w:val="20"/>
              </w:rPr>
              <w:t>円</w:t>
            </w:r>
          </w:p>
        </w:tc>
        <w:tc>
          <w:tcPr>
            <w:tcW w:w="1871" w:type="dxa"/>
            <w:vMerge w:val="restart"/>
            <w:vAlign w:val="top"/>
          </w:tcPr>
          <w:p>
            <w:pPr>
              <w:pStyle w:val="0"/>
              <w:autoSpaceDE w:val="0"/>
              <w:autoSpaceDN w:val="0"/>
              <w:adjustRightInd w:val="0"/>
              <w:spacing w:line="240" w:lineRule="exact"/>
              <w:jc w:val="both"/>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r>
              <w:rPr>
                <w:rFonts w:hint="eastAsia" w:asciiTheme="minorEastAsia" w:hAnsiTheme="minorEastAsia" w:eastAsiaTheme="minorEastAsia"/>
                <w:b w:val="1"/>
                <w:kern w:val="0"/>
                <w:sz w:val="22"/>
              </w:rPr>
              <w:t xml:space="preserve"> </w:t>
            </w:r>
          </w:p>
        </w:tc>
        <w:tc>
          <w:tcPr>
            <w:tcW w:w="1871" w:type="dxa"/>
            <w:vMerge w:val="continue"/>
            <w:vAlign w:val="top"/>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Theme="minorEastAsia" w:hAnsiTheme="minorEastAsia" w:eastAsiaTheme="minorEastAsia"/>
                <w:b w:val="1"/>
                <w:kern w:val="0"/>
                <w:sz w:val="22"/>
              </w:rPr>
            </w:pPr>
          </w:p>
        </w:tc>
        <w:tc>
          <w:tcPr>
            <w:tcW w:w="1871" w:type="dxa"/>
            <w:vMerge w:val="continue"/>
            <w:vAlign w:val="top"/>
          </w:tcPr>
          <w:p>
            <w:pPr>
              <w:pStyle w:val="0"/>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110" w:leftChars="47"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この証明書は、使用の実績に基づいて、運送事業者等ごとに別々に作成し、候補者から運送事業者等に提出してください。</w:t>
      </w:r>
    </w:p>
    <w:p>
      <w:pPr>
        <w:pStyle w:val="0"/>
        <w:autoSpaceDE w:val="0"/>
        <w:autoSpaceDN w:val="0"/>
        <w:adjustRightInd w:val="0"/>
        <w:spacing w:line="260" w:lineRule="exact"/>
        <w:ind w:firstLine="897" w:firstLineChars="449"/>
        <w:jc w:val="left"/>
        <w:rPr>
          <w:rFonts w:hint="default" w:ascii="ＭＳ 明朝" w:hAnsi="ＭＳ 明朝"/>
          <w:kern w:val="0"/>
          <w:sz w:val="20"/>
        </w:rPr>
      </w:pPr>
      <w:r>
        <w:rPr>
          <w:rFonts w:hint="eastAsia" w:ascii="ＭＳ 明朝" w:hAnsi="ＭＳ 明朝"/>
          <w:kern w:val="0"/>
          <w:sz w:val="20"/>
        </w:rPr>
        <w:t>２　運送事業者等が伊勢市に支払を請求するときは、この証明書を請求書に添付してくださ</w:t>
      </w:r>
    </w:p>
    <w:p>
      <w:pPr>
        <w:pStyle w:val="0"/>
        <w:autoSpaceDE w:val="0"/>
        <w:autoSpaceDN w:val="0"/>
        <w:adjustRightInd w:val="0"/>
        <w:spacing w:line="260" w:lineRule="exact"/>
        <w:ind w:firstLine="1097" w:firstLineChars="549"/>
        <w:jc w:val="left"/>
        <w:rPr>
          <w:rFonts w:hint="default" w:ascii="ＭＳ 明朝" w:hAnsi="ＭＳ 明朝"/>
          <w:kern w:val="0"/>
          <w:sz w:val="20"/>
        </w:rPr>
      </w:pPr>
      <w:r>
        <w:rPr>
          <w:rFonts w:hint="eastAsia" w:ascii="ＭＳ 明朝" w:hAnsi="ＭＳ 明朝"/>
          <w:kern w:val="0"/>
          <w:sz w:val="20"/>
        </w:rPr>
        <w:t>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３　この証明書を発行した候補者について供託物が没収された場合には、運送事業者等は、伊勢市に支払を請求することはできません。</w:t>
      </w:r>
    </w:p>
    <w:p>
      <w:pPr>
        <w:pStyle w:val="0"/>
        <w:autoSpaceDE w:val="0"/>
        <w:autoSpaceDN w:val="0"/>
        <w:adjustRightInd w:val="0"/>
        <w:spacing w:line="260" w:lineRule="exact"/>
        <w:ind w:firstLine="897" w:firstLineChars="449"/>
        <w:jc w:val="left"/>
        <w:rPr>
          <w:rFonts w:hint="default" w:ascii="ＭＳ 明朝" w:hAnsi="ＭＳ 明朝"/>
          <w:kern w:val="0"/>
          <w:sz w:val="20"/>
        </w:rPr>
      </w:pPr>
      <w:r>
        <w:rPr>
          <w:rFonts w:hint="eastAsia" w:ascii="ＭＳ 明朝" w:hAnsi="ＭＳ 明朝"/>
          <w:kern w:val="0"/>
          <w:sz w:val="20"/>
        </w:rPr>
        <w:t>４　公費負担の限度額は、選挙運動用自動車１台につき１日当たり次の金額までです。</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（１）一般乗用旅客自動車運送事業者との運送契約による場合　　　　　　</w:t>
      </w:r>
      <w:r>
        <w:rPr>
          <w:rFonts w:hint="eastAsia" w:ascii="ＭＳ 明朝" w:hAnsi="ＭＳ 明朝"/>
          <w:kern w:val="0"/>
          <w:sz w:val="20"/>
        </w:rPr>
        <w:t>64,</w:t>
      </w:r>
      <w:r>
        <w:rPr>
          <w:rFonts w:hint="default" w:ascii="ＭＳ 明朝" w:hAnsi="ＭＳ 明朝"/>
          <w:kern w:val="0"/>
          <w:sz w:val="20"/>
        </w:rPr>
        <w:t>500</w:t>
      </w:r>
      <w:r>
        <w:rPr>
          <w:rFonts w:hint="eastAsia" w:ascii="ＭＳ 明朝" w:hAnsi="ＭＳ 明朝"/>
          <w:kern w:val="0"/>
          <w:sz w:val="20"/>
        </w:rPr>
        <w:t>円</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（２）（１）以外の場合　　　　　　　　　　　　　　　　　　　　　　　</w:t>
      </w:r>
      <w:r>
        <w:rPr>
          <w:rFonts w:hint="eastAsia" w:ascii="ＭＳ 明朝" w:hAnsi="ＭＳ 明朝"/>
          <w:kern w:val="0"/>
          <w:sz w:val="20"/>
        </w:rPr>
        <w:t>16,100</w:t>
      </w:r>
      <w:r>
        <w:rPr>
          <w:rFonts w:hint="eastAsia" w:ascii="ＭＳ 明朝" w:hAnsi="ＭＳ 明朝"/>
          <w:kern w:val="0"/>
          <w:sz w:val="20"/>
        </w:rPr>
        <w:t>円</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５　同一の日において一般乗用旅客自動車運送事業者との運送契約とそれ以外の契約とのいずれもが締結された場合には、公費負担の対象となるのは、候補者の指定する一の契約に限られていますので、その指定をした一の契約のみについて記載してくださ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６　同一の日において一般乗用旅客自動車運送業者と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autoSpaceDE w:val="0"/>
        <w:autoSpaceDN w:val="0"/>
        <w:adjustRightInd w:val="0"/>
        <w:spacing w:line="260" w:lineRule="exact"/>
        <w:ind w:left="1090" w:leftChars="371" w:hanging="200" w:hangingChars="100"/>
        <w:jc w:val="left"/>
        <w:rPr>
          <w:rFonts w:hint="default" w:asciiTheme="minorEastAsia" w:hAnsiTheme="minorEastAsia"/>
          <w:sz w:val="19"/>
        </w:rPr>
      </w:pPr>
      <w:r>
        <w:rPr>
          <w:rFonts w:hint="eastAsia" w:ascii="ＭＳ 明朝" w:hAnsi="ＭＳ 明朝"/>
          <w:kern w:val="0"/>
          <w:sz w:val="20"/>
        </w:rPr>
        <w:t>７　５の場合には候補者の指定した契約以外の契約及び６の場合には候補者の指定した選挙運動用自動車以外の選挙運動用自動車については、伊勢市に支払を請求することはできません。</w:t>
      </w: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15</Words>
  <Characters>840</Characters>
  <Application>JUST Note</Application>
  <Lines>299</Lines>
  <Paragraphs>44</Paragraphs>
  <Company>********</Company>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2017-07-19T04:36:00Z</cp:lastPrinted>
  <dcterms:created xsi:type="dcterms:W3CDTF">2017-07-19T04:40:00Z</dcterms:created>
  <dcterms:modified xsi:type="dcterms:W3CDTF">2024-05-27T05:32:43Z</dcterms:modified>
  <cp:revision>9</cp:revision>
</cp:coreProperties>
</file>