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メイリオ" w:hAnsi="メイリオ" w:eastAsia="メイリオ"/>
        </w:rPr>
      </w:pPr>
      <w:bookmarkStart w:id="0" w:name="_GoBack"/>
      <w:bookmarkEnd w:id="0"/>
      <w:r>
        <w:rPr>
          <w:rFonts w:hint="eastAsia" w:ascii="メイリオ" w:hAnsi="メイリオ" w:eastAsia="メイリオ"/>
        </w:rPr>
        <w:t>食材費に係る物価高騰の影響を受けていることの申出書</w:t>
      </w:r>
    </w:p>
    <w:p>
      <w:pPr>
        <w:pStyle w:val="0"/>
        <w:jc w:val="center"/>
        <w:rPr>
          <w:rFonts w:hint="eastAsia" w:ascii="メイリオ" w:hAnsi="メイリオ" w:eastAsia="メイリオ"/>
          <w:sz w:val="20"/>
        </w:rPr>
      </w:pPr>
    </w:p>
    <w:p>
      <w:pPr>
        <w:pStyle w:val="0"/>
        <w:snapToGrid w:val="0"/>
        <w:ind w:firstLine="240" w:firstLineChars="100"/>
        <w:rPr>
          <w:rFonts w:hint="eastAsia" w:ascii="メイリオ" w:hAnsi="メイリオ" w:eastAsia="メイリオ"/>
        </w:rPr>
      </w:pPr>
      <w:r>
        <w:rPr>
          <w:rFonts w:hint="eastAsia" w:ascii="メイリオ" w:hAnsi="メイリオ" w:eastAsia="メイリオ"/>
          <w:b w:val="0"/>
          <w:i w:val="0"/>
          <w:strike w:val="0"/>
          <w:color w:val="auto"/>
          <w:sz w:val="24"/>
          <w:u w:val="none" w:color="auto"/>
        </w:rPr>
        <w:t>令和７年度伊勢市こども食堂等物価高騰対策支援金の交付を申請するにあたり、以下のとおり、原油価格・</w:t>
      </w:r>
      <w:r>
        <w:rPr>
          <w:rFonts w:hint="eastAsia" w:ascii="メイリオ" w:hAnsi="メイリオ" w:eastAsia="メイリオ"/>
        </w:rPr>
        <w:t>物価高騰の影響を受けていることを申し出いたします。</w:t>
      </w:r>
    </w:p>
    <w:tbl>
      <w:tblPr>
        <w:tblStyle w:val="17"/>
        <w:tblW w:w="0" w:type="auto"/>
        <w:tblInd w:w="0" w:type="dxa"/>
        <w:tblLayout w:type="fixed"/>
        <w:tblLook w:firstRow="1" w:lastRow="0" w:firstColumn="1" w:lastColumn="0" w:noHBand="0" w:noVBand="1" w:val="04A0"/>
      </w:tblPr>
      <w:tblGrid>
        <w:gridCol w:w="835"/>
        <w:gridCol w:w="7669"/>
      </w:tblGrid>
      <w:tr>
        <w:trPr/>
        <w:tc>
          <w:tcPr>
            <w:tcW w:w="835" w:type="dxa"/>
            <w:vAlign w:val="center"/>
          </w:tcPr>
          <w:p>
            <w:pPr>
              <w:pStyle w:val="0"/>
              <w:jc w:val="center"/>
              <w:rPr>
                <w:rFonts w:hint="default"/>
              </w:rPr>
            </w:pPr>
            <w:r>
              <w:rPr>
                <w:rFonts w:hint="eastAsia"/>
                <w:sz w:val="44"/>
              </w:rPr>
              <w:t>☒</w:t>
            </w:r>
          </w:p>
        </w:tc>
        <w:tc>
          <w:tcPr>
            <w:tcW w:w="7669" w:type="dxa"/>
            <w:vAlign w:val="top"/>
          </w:tcPr>
          <w:p>
            <w:pPr>
              <w:pStyle w:val="0"/>
              <w:spacing w:line="0" w:lineRule="atLeast"/>
              <w:rPr>
                <w:rFonts w:hint="eastAsia" w:ascii="メイリオ" w:hAnsi="メイリオ" w:eastAsia="メイリオ"/>
              </w:rPr>
            </w:pPr>
            <w:r>
              <w:rPr>
                <w:rFonts w:hint="eastAsia" w:ascii="メイリオ" w:hAnsi="メイリオ" w:eastAsia="メイリオ"/>
              </w:rPr>
              <w:t>こども食堂等において利用者に対する食事の提供に関し、原油価格・物価高騰の影響をうけている。</w:t>
            </w:r>
          </w:p>
        </w:tc>
      </w:tr>
      <w:tr>
        <w:trPr/>
        <w:tc>
          <w:tcPr>
            <w:tcW w:w="835" w:type="dxa"/>
            <w:vAlign w:val="center"/>
          </w:tcPr>
          <w:sdt>
            <w:sdtPr>
              <w:rPr>
                <w:rFonts w:hint="eastAsia" w:ascii="メイリオ" w:hAnsi="メイリオ" w:eastAsia="メイリオ"/>
                <w:sz w:val="36"/>
              </w:rPr>
              <w:lock w:val="unlocked"/>
              <w14:checkbox>
                <w14:checkedState w14:font="ＭＳ ゴシック" w14:val="2612"/>
                <w14:uncheckedState w14:font="ＭＳ ゴシック" w14:val="2610"/>
              </w14:checkbox>
            </w:sdtPr>
            <w:sdtEndPr>
              <w:rPr>
                <w:rFonts w:hint="eastAsia" w:ascii="メイリオ" w:hAnsi="メイリオ" w:eastAsia="メイリオ"/>
                <w:sz w:val="36"/>
              </w:rPr>
            </w:sdtEndPr>
            <w:sdtContent>
              <w:p>
                <w:pPr>
                  <w:pStyle w:val="0"/>
                  <w:jc w:val="center"/>
                </w:pPr>
                <w:r>
                  <w:rPr>
                    <w:rFonts w:hint="eastAsia" w:ascii="メイリオ" w:hAnsi="メイリオ" w:eastAsia="メイリオ"/>
                    <w:sz w:val="36"/>
                  </w:rPr>
                  <w:t>☐</w:t>
                </w:r>
              </w:p>
            </w:sdtContent>
          </w:sdt>
        </w:tc>
        <w:tc>
          <w:tcPr>
            <w:tcW w:w="7669" w:type="dxa"/>
            <w:vAlign w:val="center"/>
          </w:tcPr>
          <w:p>
            <w:pPr>
              <w:pStyle w:val="0"/>
              <w:spacing w:line="0" w:lineRule="atLeast"/>
              <w:jc w:val="both"/>
              <w:rPr>
                <w:rFonts w:hint="eastAsia" w:ascii="メイリオ" w:hAnsi="メイリオ" w:eastAsia="メイリオ"/>
              </w:rPr>
            </w:pPr>
            <w:r>
              <w:rPr>
                <w:rFonts w:hint="eastAsia" w:ascii="メイリオ" w:hAnsi="メイリオ" w:eastAsia="メイリオ"/>
              </w:rPr>
              <w:t>原油価格・物価高騰の影響により、食事の献立を変更した。</w:t>
            </w:r>
          </w:p>
        </w:tc>
      </w:tr>
      <w:tr>
        <w:trPr/>
        <w:tc>
          <w:tcPr>
            <w:tcW w:w="835" w:type="dxa"/>
            <w:vAlign w:val="center"/>
          </w:tcPr>
          <w:sdt>
            <w:sdtPr>
              <w:rPr>
                <w:rFonts w:hint="eastAsia" w:ascii="メイリオ" w:hAnsi="メイリオ" w:eastAsia="メイリオ"/>
                <w:sz w:val="36"/>
              </w:rPr>
              <w:alias w:val=""/>
              <w:tag w:val=""/>
              <w:lock w:val="unlocked"/>
              <w14:checkbox>
                <w14:checkedState w14:font="ＭＳ ゴシック" w14:val="2612"/>
                <w14:uncheckedState w14:font="ＭＳ ゴシック" w14:val="2610"/>
              </w14:checkbox>
            </w:sdtPr>
            <w:sdtEndPr>
              <w:rPr>
                <w:rFonts w:hint="eastAsia" w:ascii="メイリオ" w:hAnsi="メイリオ" w:eastAsia="メイリオ"/>
                <w:sz w:val="36"/>
              </w:rPr>
            </w:sdtEndPr>
            <w:sdtContent>
              <w:p>
                <w:pPr>
                  <w:pStyle w:val="0"/>
                  <w:jc w:val="center"/>
                </w:pPr>
                <w:r>
                  <w:rPr>
                    <w:rFonts w:hint="eastAsia" w:ascii="メイリオ" w:hAnsi="メイリオ" w:eastAsia="メイリオ"/>
                    <w:sz w:val="36"/>
                  </w:rPr>
                  <w:t>☐</w:t>
                </w:r>
              </w:p>
            </w:sdtContent>
          </w:sdt>
        </w:tc>
        <w:tc>
          <w:tcPr>
            <w:tcW w:w="7669" w:type="dxa"/>
            <w:vAlign w:val="center"/>
          </w:tcPr>
          <w:p>
            <w:pPr>
              <w:pStyle w:val="0"/>
              <w:spacing w:line="0" w:lineRule="atLeast"/>
              <w:jc w:val="both"/>
              <w:rPr>
                <w:rFonts w:hint="eastAsia" w:ascii="メイリオ" w:hAnsi="メイリオ" w:eastAsia="メイリオ"/>
              </w:rPr>
            </w:pPr>
            <w:r>
              <w:rPr>
                <w:rFonts w:hint="eastAsia" w:ascii="メイリオ" w:hAnsi="メイリオ" w:eastAsia="メイリオ"/>
              </w:rPr>
              <w:t>原油価格・物価高騰を受けて、取引業者から値上げの話があった又は値上げが実施された。</w:t>
            </w:r>
          </w:p>
        </w:tc>
      </w:tr>
      <w:tr>
        <w:trPr/>
        <w:tc>
          <w:tcPr>
            <w:tcW w:w="835" w:type="dxa"/>
            <w:vAlign w:val="center"/>
          </w:tcPr>
          <w:sdt>
            <w:sdtPr>
              <w:rPr>
                <w:rFonts w:hint="eastAsia" w:ascii="メイリオ" w:hAnsi="メイリオ" w:eastAsia="メイリオ"/>
                <w:sz w:val="36"/>
              </w:rPr>
              <w:alias w:val=""/>
              <w:tag w:val=""/>
              <w:lock w:val="unlocked"/>
              <w14:checkbox>
                <w14:checkedState w14:font="ＭＳ ゴシック" w14:val="2612"/>
                <w14:uncheckedState w14:font="ＭＳ ゴシック" w14:val="2610"/>
              </w14:checkbox>
            </w:sdtPr>
            <w:sdtEndPr>
              <w:rPr>
                <w:rFonts w:hint="eastAsia" w:ascii="メイリオ" w:hAnsi="メイリオ" w:eastAsia="メイリオ"/>
                <w:sz w:val="36"/>
              </w:rPr>
            </w:sdtEndPr>
            <w:sdtContent>
              <w:p>
                <w:pPr>
                  <w:pStyle w:val="0"/>
                  <w:jc w:val="center"/>
                </w:pPr>
                <w:r>
                  <w:rPr>
                    <w:rFonts w:hint="eastAsia" w:ascii="ＭＳ ゴシック" w:hAnsi="ＭＳ ゴシック" w:eastAsia="ＭＳ ゴシック"/>
                    <w:sz w:val="36"/>
                  </w:rPr>
                  <w:t>☐</w:t>
                </w:r>
              </w:p>
            </w:sdtContent>
          </w:sdt>
        </w:tc>
        <w:tc>
          <w:tcPr>
            <w:tcW w:w="7669" w:type="dxa"/>
            <w:vAlign w:val="center"/>
          </w:tcPr>
          <w:p>
            <w:pPr>
              <w:pStyle w:val="0"/>
              <w:spacing w:line="0" w:lineRule="atLeast"/>
              <w:jc w:val="both"/>
              <w:rPr>
                <w:rFonts w:hint="eastAsia" w:ascii="メイリオ" w:hAnsi="メイリオ" w:eastAsia="メイリオ"/>
              </w:rPr>
            </w:pPr>
            <w:r>
              <w:rPr>
                <w:rFonts w:hint="eastAsia" w:ascii="メイリオ" w:hAnsi="メイリオ" w:eastAsia="メイリオ"/>
              </w:rPr>
              <w:t>原油価格・物価高騰の影響による取引業者の廃業により、食事の提供に影響があった。</w:t>
            </w:r>
          </w:p>
        </w:tc>
      </w:tr>
      <w:tr>
        <w:trPr>
          <w:trHeight w:val="500" w:hRule="atLeast"/>
        </w:trPr>
        <w:tc>
          <w:tcPr>
            <w:tcW w:w="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sdt>
            <w:sdtPr>
              <w:rPr>
                <w:rFonts w:hint="eastAsia" w:ascii="メイリオ" w:hAnsi="メイリオ" w:eastAsia="メイリオ"/>
                <w:sz w:val="36"/>
              </w:rPr>
              <w:lock w:val="unlocked"/>
              <w14:checkbox>
                <w14:checkedState w14:font="ＭＳ ゴシック" w14:val="2612"/>
                <w14:uncheckedState w14:font="ＭＳ ゴシック" w14:val="2610"/>
              </w14:checkbox>
            </w:sdtPr>
            <w:sdtEndPr>
              <w:rPr>
                <w:rFonts w:hint="eastAsia" w:ascii="メイリオ" w:hAnsi="メイリオ" w:eastAsia="メイリオ"/>
                <w:sz w:val="36"/>
              </w:rPr>
            </w:sdtEndPr>
            <w:sdtContent>
              <w:p>
                <w:pPr>
                  <w:pStyle w:val="0"/>
                  <w:jc w:val="center"/>
                </w:pPr>
                <w:r>
                  <w:rPr>
                    <w:rFonts w:hint="eastAsia" w:ascii="ＭＳ ゴシック" w:hAnsi="ＭＳ ゴシック" w:eastAsia="ＭＳ ゴシック"/>
                    <w:sz w:val="36"/>
                  </w:rPr>
                  <w:t>☐</w:t>
                </w:r>
              </w:p>
            </w:sdtContent>
          </w:sdt>
        </w:tc>
        <w:tc>
          <w:tcPr>
            <w:tcW w:w="766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both"/>
              <w:rPr>
                <w:rFonts w:hint="eastAsia" w:ascii="メイリオ" w:hAnsi="メイリオ" w:eastAsia="メイリオ"/>
              </w:rPr>
            </w:pPr>
            <w:r>
              <w:rPr>
                <w:rFonts w:hint="eastAsia" w:ascii="メイリオ" w:hAnsi="メイリオ" w:eastAsia="メイリオ"/>
              </w:rPr>
              <w:t>原油価格・物価高騰の影響により、やむを得ず利用料（利用者負担）の値上げを行った又は検討している。</w:t>
            </w:r>
          </w:p>
        </w:tc>
      </w:tr>
      <w:tr>
        <w:trPr>
          <w:trHeight w:val="916" w:hRule="atLeast"/>
        </w:trPr>
        <w:tc>
          <w:tcPr>
            <w:tcW w:w="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sdt>
            <w:sdtPr>
              <w:rPr>
                <w:rFonts w:hint="eastAsia" w:ascii="メイリオ" w:hAnsi="メイリオ" w:eastAsia="メイリオ"/>
                <w:sz w:val="36"/>
              </w:rPr>
              <w:lock w:val="unlocked"/>
              <w14:checkbox>
                <w14:checkedState w14:font="ＭＳ ゴシック" w14:val="2612"/>
                <w14:uncheckedState w14:font="ＭＳ ゴシック" w14:val="2610"/>
              </w14:checkbox>
            </w:sdtPr>
            <w:sdtEndPr>
              <w:rPr>
                <w:rFonts w:hint="eastAsia" w:ascii="メイリオ" w:hAnsi="メイリオ" w:eastAsia="メイリオ"/>
                <w:sz w:val="36"/>
              </w:rPr>
            </w:sdtEndPr>
            <w:sdtContent>
              <w:p>
                <w:pPr>
                  <w:pStyle w:val="0"/>
                  <w:jc w:val="center"/>
                </w:pPr>
                <w:r>
                  <w:rPr>
                    <w:rFonts w:hint="eastAsia" w:ascii="ＭＳ ゴシック" w:hAnsi="ＭＳ ゴシック" w:eastAsia="ＭＳ ゴシック"/>
                    <w:sz w:val="36"/>
                  </w:rPr>
                  <w:t>☐</w:t>
                </w:r>
              </w:p>
            </w:sdtContent>
          </w:sdt>
        </w:tc>
        <w:tc>
          <w:tcPr>
            <w:tcW w:w="766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both"/>
              <w:rPr>
                <w:rFonts w:hint="eastAsia" w:ascii="メイリオ" w:hAnsi="メイリオ" w:eastAsia="メイリオ"/>
              </w:rPr>
            </w:pPr>
            <w:r>
              <w:rPr>
                <w:rFonts w:hint="eastAsia" w:ascii="メイリオ" w:hAnsi="メイリオ" w:eastAsia="メイリオ"/>
              </w:rPr>
              <w:t>令和</w:t>
            </w:r>
            <w:r>
              <w:rPr>
                <w:rFonts w:hint="eastAsia" w:ascii="メイリオ" w:hAnsi="メイリオ" w:eastAsia="メイリオ"/>
              </w:rPr>
              <w:t>7</w:t>
            </w:r>
            <w:r>
              <w:rPr>
                <w:rFonts w:hint="eastAsia" w:ascii="メイリオ" w:hAnsi="メイリオ" w:eastAsia="メイリオ"/>
              </w:rPr>
              <w:t>年</w:t>
            </w:r>
            <w:r>
              <w:rPr>
                <w:rFonts w:hint="eastAsia" w:ascii="メイリオ" w:hAnsi="メイリオ" w:eastAsia="メイリオ"/>
              </w:rPr>
              <w:t>4</w:t>
            </w:r>
            <w:r>
              <w:rPr>
                <w:rFonts w:hint="eastAsia" w:ascii="メイリオ" w:hAnsi="メイリオ" w:eastAsia="メイリオ"/>
              </w:rPr>
              <w:t>月以降、米の値上がりの影響を受けている。</w:t>
            </w:r>
          </w:p>
        </w:tc>
      </w:tr>
      <w:tr>
        <w:trPr>
          <w:trHeight w:val="542" w:hRule="atLeast"/>
        </w:trPr>
        <w:tc>
          <w:tcPr>
            <w:tcW w:w="83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sdt>
            <w:sdtPr>
              <w:rPr>
                <w:rFonts w:hint="eastAsia" w:ascii="メイリオ" w:hAnsi="メイリオ" w:eastAsia="メイリオ"/>
                <w:sz w:val="36"/>
              </w:rPr>
              <w:alias w:val=""/>
              <w:tag w:val=""/>
              <w:lock w:val="unlocked"/>
              <w14:checkbox>
                <w14:checkedState w14:font="ＭＳ ゴシック" w14:val="2612"/>
                <w14:uncheckedState w14:font="ＭＳ ゴシック" w14:val="2610"/>
              </w14:checkbox>
            </w:sdtPr>
            <w:sdtEndPr>
              <w:rPr>
                <w:rFonts w:hint="eastAsia" w:ascii="メイリオ" w:hAnsi="メイリオ" w:eastAsia="メイリオ"/>
                <w:sz w:val="36"/>
              </w:rPr>
            </w:sdtEndPr>
            <w:sdtContent>
              <w:p>
                <w:pPr>
                  <w:pStyle w:val="0"/>
                  <w:jc w:val="center"/>
                </w:pPr>
                <w:r>
                  <w:rPr>
                    <w:rFonts w:hint="eastAsia" w:ascii="メイリオ" w:hAnsi="メイリオ" w:eastAsia="メイリオ"/>
                    <w:sz w:val="36"/>
                  </w:rPr>
                  <w:t>☐</w:t>
                </w:r>
              </w:p>
            </w:sdtContent>
          </w:sdt>
        </w:tc>
        <w:tc>
          <w:tcPr>
            <w:tcW w:w="766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both"/>
              <w:rPr>
                <w:rFonts w:hint="eastAsia" w:ascii="メイリオ" w:hAnsi="メイリオ" w:eastAsia="メイリオ"/>
              </w:rPr>
            </w:pPr>
            <w:r>
              <w:rPr>
                <w:rFonts w:hint="eastAsia" w:ascii="メイリオ" w:hAnsi="メイリオ" w:eastAsia="メイリオ"/>
              </w:rPr>
              <w:t>その他（具体的に記載）</w:t>
            </w:r>
          </w:p>
        </w:tc>
      </w:tr>
      <w:tr>
        <w:trPr>
          <w:trHeight w:val="730" w:hRule="atLeast"/>
        </w:trPr>
        <w:tc>
          <w:tcPr>
            <w:tcW w:w="835"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669"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390" w:hRule="atLeast"/>
        </w:trPr>
        <w:tc>
          <w:tcPr>
            <w:tcW w:w="835" w:type="dxa"/>
            <w:vMerge w:val="continue"/>
            <w:vAlign w:val="center"/>
          </w:tcPr>
          <w:p>
            <w:pPr>
              <w:pStyle w:val="0"/>
              <w:rPr>
                <w:rFonts w:hint="eastAsia"/>
              </w:rPr>
            </w:pPr>
          </w:p>
        </w:tc>
        <w:tc>
          <w:tcPr>
            <w:tcW w:w="7669"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390" w:hRule="atLeast"/>
        </w:trPr>
        <w:tc>
          <w:tcPr>
            <w:tcW w:w="835" w:type="dxa"/>
            <w:vMerge w:val="continue"/>
            <w:vAlign w:val="center"/>
          </w:tcPr>
          <w:p>
            <w:pPr>
              <w:pStyle w:val="0"/>
              <w:rPr>
                <w:rFonts w:hint="eastAsia"/>
              </w:rPr>
            </w:pPr>
          </w:p>
        </w:tc>
        <w:tc>
          <w:tcPr>
            <w:tcW w:w="7669"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778" w:hRule="atLeast"/>
        </w:trPr>
        <w:tc>
          <w:tcPr>
            <w:tcW w:w="835" w:type="dxa"/>
            <w:vMerge w:val="continue"/>
            <w:vAlign w:val="center"/>
          </w:tcPr>
          <w:p>
            <w:pPr>
              <w:pStyle w:val="0"/>
              <w:rPr>
                <w:rFonts w:hint="eastAsia"/>
              </w:rPr>
            </w:pPr>
          </w:p>
        </w:tc>
        <w:tc>
          <w:tcPr>
            <w:tcW w:w="7669"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spacing w:before="195" w:beforeLines="50" w:beforeAutospacing="0" w:after="195" w:afterLines="50" w:afterAutospacing="0"/>
        <w:ind w:leftChars="0" w:firstLine="0" w:firstLineChars="0"/>
        <w:rPr>
          <w:rFonts w:hint="eastAsia" w:ascii="メイリオ" w:hAnsi="メイリオ" w:eastAsia="メイリオ"/>
        </w:rPr>
      </w:pPr>
      <w:r>
        <w:rPr>
          <w:rFonts w:hint="eastAsia" w:ascii="メイリオ" w:hAnsi="メイリオ" w:eastAsia="メイリオ"/>
        </w:rPr>
        <w:t>令和　　年　　月　　日</w:t>
      </w:r>
    </w:p>
    <w:p>
      <w:pPr>
        <w:pStyle w:val="0"/>
        <w:spacing w:before="195" w:beforeLines="50" w:beforeAutospacing="0" w:line="0" w:lineRule="atLeast"/>
        <w:ind w:leftChars="0" w:firstLine="0" w:firstLineChars="0"/>
        <w:rPr>
          <w:rFonts w:hint="eastAsia" w:ascii="メイリオ" w:hAnsi="メイリオ" w:eastAsia="メイリオ"/>
        </w:rPr>
      </w:pPr>
      <w:r>
        <w:rPr>
          <w:rFonts w:hint="eastAsia" w:ascii="メイリオ" w:hAnsi="メイリオ" w:eastAsia="メイリオ"/>
          <w:spacing w:val="200"/>
          <w:fitText w:val="2160" w:id="1"/>
        </w:rPr>
        <w:t>団体等</w:t>
      </w:r>
      <w:r>
        <w:rPr>
          <w:rFonts w:hint="eastAsia" w:ascii="メイリオ" w:hAnsi="メイリオ" w:eastAsia="メイリオ"/>
          <w:fitText w:val="2160" w:id="1"/>
        </w:rPr>
        <w:t>名</w:t>
      </w:r>
    </w:p>
    <w:p>
      <w:pPr>
        <w:pStyle w:val="0"/>
        <w:spacing w:line="0" w:lineRule="atLeast"/>
        <w:ind w:leftChars="0" w:firstLine="0" w:firstLineChars="0"/>
        <w:rPr>
          <w:rFonts w:hint="eastAsia" w:ascii="メイリオ" w:hAnsi="メイリオ" w:eastAsia="メイリオ"/>
        </w:rPr>
      </w:pPr>
      <w:r>
        <w:rPr>
          <w:rFonts w:hint="eastAsia" w:ascii="メイリオ" w:hAnsi="メイリオ" w:eastAsia="メイリオ"/>
          <w:spacing w:val="17"/>
          <w:fitText w:val="2160" w:id="2"/>
        </w:rPr>
        <w:t>代表者の職・氏</w:t>
      </w:r>
      <w:r>
        <w:rPr>
          <w:rFonts w:hint="eastAsia" w:ascii="メイリオ" w:hAnsi="メイリオ" w:eastAsia="メイリオ"/>
          <w:spacing w:val="1"/>
          <w:fitText w:val="2160" w:id="2"/>
        </w:rPr>
        <w:t>名</w:t>
      </w:r>
    </w:p>
    <w:p>
      <w:pPr>
        <w:pStyle w:val="0"/>
        <w:spacing w:line="0" w:lineRule="atLeast"/>
        <w:ind w:leftChars="0" w:firstLine="0" w:firstLineChars="0"/>
        <w:rPr>
          <w:rFonts w:hint="eastAsia" w:ascii="メイリオ" w:hAnsi="メイリオ" w:eastAsia="メイリオ"/>
        </w:rPr>
      </w:pPr>
      <w:r>
        <w:rPr>
          <w:rFonts w:hint="eastAsia" w:ascii="メイリオ" w:hAnsi="メイリオ" w:eastAsia="メイリオ"/>
        </w:rPr>
        <w:t>こども食堂等の名称</w:t>
      </w:r>
    </w:p>
    <w:p>
      <w:pPr>
        <w:pStyle w:val="0"/>
        <w:snapToGrid w:val="0"/>
        <w:spacing w:before="0" w:beforeLines="0" w:beforeAutospacing="0" w:line="20" w:lineRule="atLeast"/>
        <w:ind w:left="0" w:leftChars="0" w:firstLine="240" w:firstLineChars="100"/>
        <w:rPr>
          <w:rFonts w:hint="eastAsia" w:ascii="メイリオ" w:hAnsi="メイリオ" w:eastAsia="メイリオ"/>
          <w:sz w:val="2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3175</wp:posOffset>
                </wp:positionH>
                <wp:positionV relativeFrom="paragraph">
                  <wp:posOffset>6985</wp:posOffset>
                </wp:positionV>
                <wp:extent cx="3381375" cy="5238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381375" cy="523875"/>
                        </a:xfrm>
                        <a:prstGeom prst="bracketPair">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2;mso-wrap-distance-left:5.65pt;width:266.25pt;height:41.25pt;mso-position-horizontal-relative:text;position:absolute;margin-left:0.25pt;margin-top:0.55000000000000004pt;mso-wrap-distance-bottom:0pt;mso-wrap-distance-right:5.65pt;mso-wrap-distance-top:0pt;" o:spid="_x0000_s1026" o:allowincell="t" o:allowoverlap="t" filled="f" stroked="t" strokecolor="#5b9bd5 [3204]"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メイリオ" w:hAnsi="メイリオ" w:eastAsia="メイリオ"/>
          <w:sz w:val="22"/>
        </w:rPr>
        <w:t>連絡先電話番号</w:t>
      </w:r>
    </w:p>
    <w:p>
      <w:pPr>
        <w:pStyle w:val="0"/>
        <w:snapToGrid w:val="0"/>
        <w:spacing w:before="0" w:beforeLines="0" w:beforeAutospacing="0" w:line="20" w:lineRule="atLeast"/>
        <w:ind w:left="0" w:leftChars="0" w:firstLine="220" w:firstLineChars="100"/>
        <w:rPr>
          <w:rFonts w:hint="eastAsia" w:ascii="メイリオ" w:hAnsi="メイリオ" w:eastAsia="メイリオ"/>
          <w:sz w:val="22"/>
        </w:rPr>
      </w:pPr>
      <w:r>
        <w:rPr>
          <w:rFonts w:hint="eastAsia" w:ascii="メイリオ" w:hAnsi="メイリオ" w:eastAsia="メイリオ"/>
          <w:sz w:val="22"/>
        </w:rPr>
        <w:t>連絡先担当者氏名</w:t>
      </w:r>
    </w:p>
    <w:sectPr>
      <w:pgSz w:w="11906" w:h="16838"/>
      <w:pgMar w:top="954" w:right="1701" w:bottom="944" w:left="1701"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138</TotalTime>
  <Pages>1</Pages>
  <Words>2</Words>
  <Characters>382</Characters>
  <Application>JUST Note</Application>
  <Lines>107</Lines>
  <Paragraphs>22</Paragraphs>
  <Company>伊勢市</Company>
  <CharactersWithSpaces>388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奥本 智礼</dc:creator>
  <cp:lastModifiedBy>小岸 佑基</cp:lastModifiedBy>
  <cp:lastPrinted>2025-09-19T06:15:43Z</cp:lastPrinted>
  <dcterms:created xsi:type="dcterms:W3CDTF">2022-10-02T23:44:00Z</dcterms:created>
  <dcterms:modified xsi:type="dcterms:W3CDTF">2025-09-19T06:15:30Z</dcterms:modified>
  <cp:revision>4</cp:revision>
</cp:coreProperties>
</file>